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F2F04">
      <w:pPr>
        <w:rPr>
          <w:rFonts w:hint="default" w:ascii="Times New Roman" w:hAnsi="Times New Roman" w:eastAsia="宋体" w:cs="Times New Roman"/>
          <w:color w:val="auto"/>
          <w:sz w:val="22"/>
          <w:szCs w:val="28"/>
          <w:lang w:val="en-US" w:eastAsia="zh-CN"/>
        </w:rPr>
      </w:pPr>
      <w:bookmarkStart w:id="0" w:name="_Toc28572"/>
      <w:bookmarkStart w:id="1" w:name="_Toc22306"/>
      <w:bookmarkStart w:id="2" w:name="_Toc19362"/>
      <w:bookmarkStart w:id="3" w:name="_Toc3843"/>
      <w:bookmarkStart w:id="4" w:name="_Toc18753"/>
      <w:bookmarkStart w:id="5" w:name="_Toc1014"/>
      <w:bookmarkStart w:id="6" w:name="_Toc21106"/>
      <w:bookmarkStart w:id="7" w:name="_Toc20208"/>
      <w:bookmarkStart w:id="8" w:name="_Toc23373"/>
      <w:r>
        <w:rPr>
          <w:rFonts w:hint="default" w:ascii="Times New Roman" w:hAnsi="Times New Roman" w:cs="Times New Roman"/>
          <w:color w:val="auto"/>
          <w:sz w:val="22"/>
          <w:szCs w:val="28"/>
        </w:rPr>
        <w:t>ICS</w:t>
      </w:r>
      <w:r>
        <w:rPr>
          <w:rFonts w:hint="default" w:ascii="Times New Roman" w:hAnsi="Times New Roman" w:cs="Times New Roman"/>
          <w:color w:val="auto"/>
          <w:sz w:val="22"/>
          <w:szCs w:val="28"/>
          <w:lang w:val="en-US" w:eastAsia="zh-CN"/>
        </w:rPr>
        <w:t xml:space="preserve"> 91.040</w:t>
      </w:r>
    </w:p>
    <w:p w14:paraId="1D41FB86">
      <w:pPr>
        <w:rPr>
          <w:rFonts w:hint="default" w:ascii="Times New Roman" w:hAnsi="Times New Roman" w:eastAsia="宋体" w:cs="Times New Roman"/>
          <w:color w:val="auto"/>
          <w:sz w:val="22"/>
          <w:szCs w:val="28"/>
          <w:lang w:val="en-US" w:eastAsia="zh-CN"/>
        </w:rPr>
      </w:pPr>
      <w:r>
        <w:rPr>
          <w:rFonts w:hint="default" w:ascii="Times New Roman" w:hAnsi="Times New Roman" w:cs="Times New Roman"/>
          <w:color w:val="auto"/>
          <w:sz w:val="22"/>
          <w:szCs w:val="28"/>
          <w:lang w:val="en-US" w:eastAsia="zh-CN"/>
        </w:rPr>
        <w:t>CCS</w:t>
      </w:r>
      <w:r>
        <w:rPr>
          <w:rFonts w:hint="eastAsia" w:cs="Times New Roman"/>
          <w:color w:val="auto"/>
          <w:sz w:val="22"/>
          <w:szCs w:val="28"/>
          <w:lang w:val="en-US" w:eastAsia="zh-CN"/>
        </w:rPr>
        <w:t xml:space="preserve"> P 30 </w:t>
      </w:r>
    </w:p>
    <w:p w14:paraId="48892502">
      <w:pPr>
        <w:pStyle w:val="7"/>
        <w:spacing w:before="313" w:line="360" w:lineRule="auto"/>
        <w:jc w:val="center"/>
        <w:outlineLvl w:val="9"/>
        <w:rPr>
          <w:rFonts w:hint="default" w:ascii="Times New Roman" w:hAnsi="Times New Roman" w:eastAsia="黑体" w:cs="Times New Roman"/>
          <w:b w:val="0"/>
          <w:bCs/>
          <w:color w:val="auto"/>
          <w:kern w:val="0"/>
          <w:sz w:val="36"/>
          <w:szCs w:val="36"/>
          <w:lang w:val="en-US" w:eastAsia="zh-CN" w:bidi="ar-SA"/>
        </w:rPr>
      </w:pPr>
      <w:r>
        <w:rPr>
          <w:rFonts w:hint="eastAsia" w:ascii="方正小标宋简体" w:hAnsi="方正小标宋简体" w:eastAsia="方正小标宋简体" w:cs="方正小标宋简体"/>
          <w:b w:val="0"/>
          <w:bCs/>
          <w:color w:val="auto"/>
          <w:kern w:val="0"/>
          <w:sz w:val="36"/>
          <w:szCs w:val="36"/>
          <w:lang w:val="en-US" w:eastAsia="zh-CN" w:bidi="ar-SA"/>
        </w:rPr>
        <w:t>四川省智能建造与建筑工业化协会团体标准</w:t>
      </w:r>
    </w:p>
    <w:p w14:paraId="72817591">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eastAsia="宋体"/>
          <w:color w:val="auto"/>
          <w:sz w:val="48"/>
          <w:szCs w:val="56"/>
          <w:u w:val="single"/>
          <w:lang w:val="en-US" w:eastAsia="zh-CN"/>
        </w:rPr>
      </w:pPr>
      <w:r>
        <w:rPr>
          <w:rFonts w:hint="eastAsia"/>
          <w:color w:val="auto"/>
          <w:sz w:val="48"/>
          <w:szCs w:val="56"/>
          <w:u w:val="single"/>
        </w:rPr>
        <w:t xml:space="preserve">                     </w:t>
      </w:r>
      <w:r>
        <w:rPr>
          <w:rFonts w:hint="eastAsia"/>
          <w:color w:val="auto"/>
          <w:sz w:val="48"/>
          <w:szCs w:val="56"/>
          <w:u w:val="single"/>
          <w:lang w:val="en-US" w:eastAsia="zh-CN"/>
        </w:rPr>
        <w:t xml:space="preserve">      </w:t>
      </w:r>
      <w:r>
        <w:rPr>
          <w:rFonts w:hint="eastAsia"/>
          <w:color w:val="auto"/>
          <w:sz w:val="48"/>
          <w:szCs w:val="56"/>
          <w:u w:val="single"/>
        </w:rPr>
        <w:t xml:space="preserve">  </w:t>
      </w:r>
      <w:r>
        <w:rPr>
          <w:rFonts w:hint="eastAsia"/>
          <w:color w:val="auto"/>
          <w:kern w:val="4"/>
          <w:position w:val="11"/>
          <w:sz w:val="28"/>
          <w:szCs w:val="36"/>
          <w:u w:val="single"/>
          <w:lang w:val="en-US" w:eastAsia="zh-CN"/>
        </w:rPr>
        <w:t>T/SICBIA  006-2026</w:t>
      </w:r>
    </w:p>
    <w:p w14:paraId="3E20F9E3">
      <w:pPr>
        <w:spacing w:line="245" w:lineRule="auto"/>
        <w:outlineLvl w:val="9"/>
        <w:rPr>
          <w:rFonts w:hint="default" w:ascii="Times New Roman" w:hAnsi="Times New Roman" w:cs="Times New Roman"/>
          <w:color w:val="auto"/>
          <w:sz w:val="21"/>
        </w:rPr>
      </w:pPr>
    </w:p>
    <w:p w14:paraId="0C3CB090">
      <w:pPr>
        <w:spacing w:line="245" w:lineRule="auto"/>
        <w:outlineLvl w:val="9"/>
        <w:rPr>
          <w:rFonts w:hint="default" w:ascii="Times New Roman" w:hAnsi="Times New Roman" w:cs="Times New Roman"/>
          <w:color w:val="auto"/>
          <w:sz w:val="21"/>
        </w:rPr>
      </w:pPr>
    </w:p>
    <w:p w14:paraId="3469BCA9">
      <w:pPr>
        <w:spacing w:line="245" w:lineRule="auto"/>
        <w:outlineLvl w:val="9"/>
        <w:rPr>
          <w:rFonts w:hint="default" w:ascii="Times New Roman" w:hAnsi="Times New Roman" w:cs="Times New Roman"/>
          <w:color w:val="auto"/>
          <w:sz w:val="21"/>
        </w:rPr>
      </w:pPr>
    </w:p>
    <w:p w14:paraId="2A54DA3E">
      <w:pPr>
        <w:spacing w:line="245" w:lineRule="auto"/>
        <w:outlineLvl w:val="9"/>
        <w:rPr>
          <w:rFonts w:hint="default" w:ascii="Times New Roman" w:hAnsi="Times New Roman" w:cs="Times New Roman"/>
          <w:color w:val="auto"/>
          <w:sz w:val="21"/>
        </w:rPr>
      </w:pPr>
    </w:p>
    <w:p w14:paraId="615C3857">
      <w:pPr>
        <w:spacing w:line="245" w:lineRule="auto"/>
        <w:outlineLvl w:val="9"/>
        <w:rPr>
          <w:rFonts w:hint="default" w:ascii="Times New Roman" w:hAnsi="Times New Roman" w:cs="Times New Roman"/>
          <w:color w:val="auto"/>
          <w:sz w:val="21"/>
        </w:rPr>
      </w:pPr>
    </w:p>
    <w:p w14:paraId="35535137">
      <w:pPr>
        <w:spacing w:line="245" w:lineRule="auto"/>
        <w:outlineLvl w:val="9"/>
        <w:rPr>
          <w:rFonts w:hint="default" w:ascii="Times New Roman" w:hAnsi="Times New Roman" w:cs="Times New Roman"/>
          <w:color w:val="auto"/>
          <w:sz w:val="21"/>
        </w:rPr>
      </w:pPr>
    </w:p>
    <w:p w14:paraId="3B29327F">
      <w:pPr>
        <w:spacing w:line="246" w:lineRule="auto"/>
        <w:outlineLvl w:val="9"/>
        <w:rPr>
          <w:rFonts w:hint="default" w:ascii="Times New Roman" w:hAnsi="Times New Roman" w:cs="Times New Roman"/>
          <w:color w:val="auto"/>
          <w:sz w:val="21"/>
        </w:rPr>
      </w:pPr>
    </w:p>
    <w:p w14:paraId="2C46A942">
      <w:pPr>
        <w:spacing w:line="246" w:lineRule="auto"/>
        <w:outlineLvl w:val="9"/>
        <w:rPr>
          <w:rFonts w:hint="default" w:ascii="Times New Roman" w:hAnsi="Times New Roman" w:eastAsia="宋体" w:cs="Times New Roman"/>
          <w:color w:val="auto"/>
          <w:sz w:val="21"/>
          <w:lang w:val="en-US" w:eastAsia="zh-CN"/>
        </w:rPr>
      </w:pPr>
    </w:p>
    <w:p w14:paraId="3BA85256">
      <w:pPr>
        <w:spacing w:line="246" w:lineRule="auto"/>
        <w:outlineLvl w:val="9"/>
        <w:rPr>
          <w:rFonts w:hint="default" w:ascii="Times New Roman" w:hAnsi="Times New Roman" w:cs="Times New Roman"/>
          <w:color w:val="auto"/>
          <w:sz w:val="21"/>
        </w:rPr>
      </w:pPr>
    </w:p>
    <w:p w14:paraId="3E77D2A6">
      <w:pPr>
        <w:spacing w:line="246" w:lineRule="auto"/>
        <w:outlineLvl w:val="9"/>
        <w:rPr>
          <w:rFonts w:hint="default" w:ascii="Times New Roman" w:hAnsi="Times New Roman" w:cs="Times New Roman"/>
          <w:color w:val="auto"/>
          <w:sz w:val="21"/>
        </w:rPr>
      </w:pPr>
    </w:p>
    <w:p w14:paraId="4BDF31F2">
      <w:pPr>
        <w:spacing w:line="246" w:lineRule="auto"/>
        <w:outlineLvl w:val="9"/>
        <w:rPr>
          <w:rFonts w:hint="default" w:ascii="Times New Roman" w:hAnsi="Times New Roman" w:cs="Times New Roman"/>
          <w:color w:val="auto"/>
          <w:sz w:val="21"/>
        </w:rPr>
      </w:pPr>
    </w:p>
    <w:p w14:paraId="49FE1801">
      <w:pPr>
        <w:spacing w:before="156" w:beforeLines="50" w:after="156" w:afterLines="50" w:line="360" w:lineRule="auto"/>
        <w:jc w:val="center"/>
        <w:outlineLvl w:val="9"/>
        <w:rPr>
          <w:rFonts w:hint="eastAsia" w:ascii="方正小标宋简体" w:hAnsi="方正小标宋简体" w:eastAsia="方正小标宋简体" w:cs="方正小标宋简体"/>
          <w:b w:val="0"/>
          <w:bCs/>
          <w:color w:val="auto"/>
          <w:kern w:val="0"/>
          <w:sz w:val="44"/>
          <w:szCs w:val="44"/>
        </w:rPr>
      </w:pPr>
      <w:r>
        <w:rPr>
          <w:rFonts w:hint="eastAsia" w:ascii="方正小标宋简体" w:hAnsi="方正小标宋简体" w:eastAsia="方正小标宋简体" w:cs="方正小标宋简体"/>
          <w:b w:val="0"/>
          <w:bCs/>
          <w:color w:val="auto"/>
          <w:kern w:val="0"/>
          <w:sz w:val="44"/>
          <w:szCs w:val="44"/>
          <w:lang w:val="en-US" w:eastAsia="zh-CN"/>
        </w:rPr>
        <w:t>四川省注仓式自保温装配式农房应用技术标准</w:t>
      </w:r>
    </w:p>
    <w:p w14:paraId="694DEFAD">
      <w:pPr>
        <w:spacing w:line="248" w:lineRule="auto"/>
        <w:jc w:val="center"/>
        <w:outlineLvl w:val="9"/>
        <w:rPr>
          <w:rFonts w:hint="default" w:ascii="Times New Roman" w:hAnsi="Times New Roman" w:eastAsia="宋体" w:cs="Times New Roman"/>
          <w:color w:val="auto"/>
          <w:spacing w:val="4"/>
          <w:kern w:val="2"/>
          <w:sz w:val="24"/>
          <w:szCs w:val="24"/>
          <w:lang w:val="en-US" w:eastAsia="zh-CN" w:bidi="ar-SA"/>
        </w:rPr>
      </w:pPr>
    </w:p>
    <w:p w14:paraId="3BFAF33F">
      <w:pPr>
        <w:spacing w:line="248" w:lineRule="auto"/>
        <w:jc w:val="center"/>
        <w:outlineLvl w:val="9"/>
        <w:rPr>
          <w:rFonts w:hint="default" w:ascii="Times New Roman" w:hAnsi="Times New Roman" w:eastAsia="宋体" w:cs="Times New Roman"/>
          <w:color w:val="auto"/>
          <w:kern w:val="2"/>
          <w:sz w:val="24"/>
          <w:szCs w:val="24"/>
          <w:u w:val="none"/>
          <w:lang w:val="en-US" w:eastAsia="zh-CN" w:bidi="ar-SA"/>
        </w:rPr>
      </w:pPr>
      <w:r>
        <w:rPr>
          <w:rFonts w:hint="default" w:ascii="Times New Roman" w:hAnsi="Times New Roman" w:eastAsia="宋体" w:cs="Times New Roman"/>
          <w:color w:val="auto"/>
          <w:spacing w:val="4"/>
          <w:kern w:val="2"/>
          <w:sz w:val="24"/>
          <w:szCs w:val="24"/>
          <w:lang w:val="en-US" w:eastAsia="zh-CN" w:bidi="ar-SA"/>
        </w:rPr>
        <w:t>Technical Standard for Application of Grouted Cubicle Self-</w:t>
      </w:r>
      <w:r>
        <w:rPr>
          <w:rFonts w:hint="eastAsia" w:ascii="Times New Roman" w:hAnsi="Times New Roman" w:eastAsia="宋体" w:cs="Times New Roman"/>
          <w:color w:val="auto"/>
          <w:spacing w:val="4"/>
          <w:kern w:val="2"/>
          <w:sz w:val="24"/>
          <w:szCs w:val="24"/>
          <w:lang w:val="en-US" w:eastAsia="zh-CN" w:bidi="ar-SA"/>
        </w:rPr>
        <w:t>Insulated</w:t>
      </w:r>
      <w:r>
        <w:rPr>
          <w:rFonts w:hint="default" w:ascii="Times New Roman" w:hAnsi="Times New Roman" w:eastAsia="宋体" w:cs="Times New Roman"/>
          <w:color w:val="auto"/>
          <w:spacing w:val="4"/>
          <w:kern w:val="2"/>
          <w:sz w:val="24"/>
          <w:szCs w:val="24"/>
          <w:lang w:val="en-US" w:eastAsia="zh-CN" w:bidi="ar-SA"/>
        </w:rPr>
        <w:t xml:space="preserve"> Prefabricated Rural Houses in Sichuan Province</w:t>
      </w:r>
    </w:p>
    <w:p w14:paraId="5120B717">
      <w:pPr>
        <w:spacing w:line="248" w:lineRule="auto"/>
        <w:outlineLvl w:val="9"/>
        <w:rPr>
          <w:rFonts w:hint="default" w:ascii="Times New Roman" w:hAnsi="Times New Roman" w:cs="Times New Roman"/>
          <w:color w:val="auto"/>
          <w:sz w:val="21"/>
        </w:rPr>
      </w:pPr>
    </w:p>
    <w:p w14:paraId="07FA88B6">
      <w:pPr>
        <w:spacing w:line="248" w:lineRule="auto"/>
        <w:outlineLvl w:val="9"/>
        <w:rPr>
          <w:rFonts w:hint="default" w:ascii="Times New Roman" w:hAnsi="Times New Roman" w:cs="Times New Roman"/>
          <w:color w:val="auto"/>
          <w:sz w:val="21"/>
        </w:rPr>
      </w:pPr>
    </w:p>
    <w:p w14:paraId="7865D48F">
      <w:pPr>
        <w:pStyle w:val="14"/>
        <w:ind w:left="0" w:leftChars="0" w:firstLine="0" w:firstLineChars="0"/>
        <w:rPr>
          <w:rFonts w:hint="default" w:ascii="Times New Roman" w:hAnsi="Times New Roman" w:cs="Times New Roman"/>
          <w:color w:val="auto"/>
        </w:rPr>
      </w:pPr>
    </w:p>
    <w:p w14:paraId="05761D08">
      <w:pPr>
        <w:spacing w:before="9"/>
        <w:outlineLvl w:val="9"/>
        <w:rPr>
          <w:rFonts w:hint="default" w:ascii="Times New Roman" w:hAnsi="Times New Roman" w:cs="Times New Roman"/>
          <w:color w:val="auto"/>
        </w:rPr>
      </w:pPr>
    </w:p>
    <w:p w14:paraId="2D2D3D5A">
      <w:pPr>
        <w:spacing w:line="360" w:lineRule="auto"/>
        <w:jc w:val="center"/>
        <w:rPr>
          <w:rFonts w:ascii="Times New Roman" w:hAnsi="Times New Roman" w:eastAsia="黑体" w:cs="黑体"/>
          <w:sz w:val="32"/>
          <w:szCs w:val="32"/>
          <w:shd w:val="clear" w:color="auto" w:fill="FFFFFF"/>
        </w:rPr>
      </w:pPr>
      <w:r>
        <w:rPr>
          <w:rFonts w:hint="eastAsia" w:ascii="Times New Roman" w:hAnsi="Times New Roman" w:eastAsia="黑体" w:cs="黑体"/>
          <w:sz w:val="32"/>
          <w:szCs w:val="32"/>
          <w:shd w:val="clear" w:color="auto" w:fill="FFFFFF"/>
        </w:rPr>
        <w:t>（征求意见稿）</w:t>
      </w:r>
    </w:p>
    <w:p w14:paraId="652BC78D">
      <w:pPr>
        <w:spacing w:before="9"/>
        <w:outlineLvl w:val="9"/>
        <w:rPr>
          <w:rFonts w:hint="default" w:ascii="Times New Roman" w:hAnsi="Times New Roman" w:cs="Times New Roman"/>
          <w:color w:val="auto"/>
        </w:rPr>
      </w:pPr>
    </w:p>
    <w:p w14:paraId="39C76A44">
      <w:pPr>
        <w:spacing w:before="9"/>
        <w:outlineLvl w:val="9"/>
        <w:rPr>
          <w:rFonts w:hint="default" w:ascii="Times New Roman" w:hAnsi="Times New Roman" w:cs="Times New Roman"/>
          <w:color w:val="auto"/>
        </w:rPr>
      </w:pPr>
    </w:p>
    <w:p w14:paraId="466E5946">
      <w:pPr>
        <w:spacing w:before="9"/>
        <w:outlineLvl w:val="9"/>
        <w:rPr>
          <w:rFonts w:hint="default" w:ascii="Times New Roman" w:hAnsi="Times New Roman" w:cs="Times New Roman"/>
          <w:color w:val="auto"/>
        </w:rPr>
      </w:pPr>
    </w:p>
    <w:p w14:paraId="30635D61">
      <w:pPr>
        <w:spacing w:before="9"/>
        <w:outlineLvl w:val="9"/>
        <w:rPr>
          <w:rFonts w:hint="default" w:ascii="Times New Roman" w:hAnsi="Times New Roman" w:cs="Times New Roman"/>
          <w:color w:val="auto"/>
        </w:rPr>
      </w:pPr>
    </w:p>
    <w:p w14:paraId="2834AEB0">
      <w:pPr>
        <w:spacing w:before="9"/>
        <w:outlineLvl w:val="9"/>
        <w:rPr>
          <w:rFonts w:hint="default" w:ascii="Times New Roman" w:hAnsi="Times New Roman" w:cs="Times New Roman"/>
          <w:color w:val="auto"/>
        </w:rPr>
      </w:pPr>
    </w:p>
    <w:p w14:paraId="2F40E6E9">
      <w:pPr>
        <w:spacing w:before="9"/>
        <w:outlineLvl w:val="9"/>
        <w:rPr>
          <w:rFonts w:hint="default" w:ascii="Times New Roman" w:hAnsi="Times New Roman" w:cs="Times New Roman"/>
          <w:color w:val="auto"/>
        </w:rPr>
      </w:pPr>
    </w:p>
    <w:p w14:paraId="0AF55D41">
      <w:pPr>
        <w:spacing w:before="9"/>
        <w:outlineLvl w:val="9"/>
        <w:rPr>
          <w:rFonts w:hint="default" w:ascii="Times New Roman" w:hAnsi="Times New Roman" w:cs="Times New Roman"/>
          <w:color w:val="auto"/>
        </w:rPr>
      </w:pPr>
    </w:p>
    <w:p w14:paraId="24C3C588">
      <w:pPr>
        <w:rPr>
          <w:rFonts w:hint="eastAsia" w:ascii="黑体" w:hAnsi="黑体" w:eastAsia="黑体" w:cs="黑体"/>
          <w:color w:val="auto"/>
          <w:sz w:val="28"/>
          <w:szCs w:val="28"/>
          <w:u w:val="single"/>
        </w:rPr>
      </w:pPr>
    </w:p>
    <w:p w14:paraId="53FD2045">
      <w:pPr>
        <w:spacing w:line="360" w:lineRule="auto"/>
        <w:rPr>
          <w:rFonts w:hint="eastAsia" w:ascii="黑体" w:hAnsi="黑体" w:eastAsia="黑体" w:cs="黑体"/>
          <w:color w:val="auto"/>
          <w:sz w:val="28"/>
          <w:szCs w:val="28"/>
          <w:u w:val="single"/>
        </w:rPr>
      </w:pPr>
      <w:r>
        <w:rPr>
          <w:rFonts w:hint="eastAsia" w:ascii="黑体" w:hAnsi="黑体" w:eastAsia="黑体" w:cs="黑体"/>
          <w:color w:val="auto"/>
          <w:sz w:val="28"/>
          <w:szCs w:val="28"/>
          <w:u w:val="single"/>
        </w:rPr>
        <w:t xml:space="preserve">XXXX-XX-XX </w:t>
      </w:r>
      <w:r>
        <w:rPr>
          <w:rFonts w:hint="eastAsia" w:ascii="黑体" w:hAnsi="黑体" w:eastAsia="黑体" w:cs="黑体"/>
          <w:color w:val="auto"/>
          <w:sz w:val="28"/>
          <w:szCs w:val="36"/>
          <w:u w:val="single"/>
        </w:rPr>
        <w:t xml:space="preserve">发布                           </w:t>
      </w:r>
      <w:r>
        <w:rPr>
          <w:rFonts w:hint="eastAsia" w:ascii="黑体" w:hAnsi="黑体" w:eastAsia="黑体" w:cs="黑体"/>
          <w:color w:val="auto"/>
          <w:sz w:val="28"/>
          <w:szCs w:val="36"/>
          <w:u w:val="single"/>
          <w:lang w:val="en-US" w:eastAsia="zh-CN"/>
        </w:rPr>
        <w:t xml:space="preserve">     </w:t>
      </w:r>
      <w:r>
        <w:rPr>
          <w:rFonts w:hint="eastAsia" w:ascii="黑体" w:hAnsi="黑体" w:eastAsia="黑体" w:cs="黑体"/>
          <w:color w:val="auto"/>
          <w:sz w:val="28"/>
          <w:szCs w:val="36"/>
          <w:u w:val="single"/>
        </w:rPr>
        <w:t xml:space="preserve"> </w:t>
      </w:r>
      <w:r>
        <w:rPr>
          <w:rFonts w:hint="eastAsia" w:ascii="黑体" w:hAnsi="黑体" w:eastAsia="黑体" w:cs="黑体"/>
          <w:color w:val="auto"/>
          <w:sz w:val="24"/>
          <w:szCs w:val="32"/>
          <w:u w:val="single"/>
        </w:rPr>
        <w:t xml:space="preserve"> </w:t>
      </w:r>
      <w:r>
        <w:rPr>
          <w:rFonts w:hint="eastAsia" w:ascii="黑体" w:hAnsi="黑体" w:eastAsia="黑体" w:cs="黑体"/>
          <w:color w:val="auto"/>
          <w:sz w:val="28"/>
          <w:szCs w:val="28"/>
          <w:u w:val="single"/>
        </w:rPr>
        <w:t>XXXX-XX-XX 实施</w:t>
      </w:r>
    </w:p>
    <w:p w14:paraId="64BA66C1">
      <w:pPr>
        <w:spacing w:line="360" w:lineRule="auto"/>
        <w:rPr>
          <w:rFonts w:hint="eastAsia" w:ascii="黑体" w:hAnsi="黑体" w:eastAsia="黑体" w:cs="黑体"/>
          <w:color w:val="auto"/>
          <w:sz w:val="28"/>
          <w:szCs w:val="28"/>
          <w:u w:val="single"/>
        </w:rPr>
      </w:pPr>
    </w:p>
    <w:p w14:paraId="0171E529">
      <w:pPr>
        <w:spacing w:line="360" w:lineRule="auto"/>
        <w:jc w:val="center"/>
        <w:rPr>
          <w:rFonts w:ascii="黑体" w:hAnsi="黑体" w:eastAsia="黑体" w:cs="黑体"/>
          <w:color w:val="auto"/>
          <w:sz w:val="48"/>
          <w:szCs w:val="56"/>
        </w:rPr>
      </w:pPr>
      <w:r>
        <w:rPr>
          <w:rFonts w:hint="eastAsia" w:ascii="黑体" w:hAnsi="黑体" w:eastAsia="黑体" w:cs="黑体"/>
          <w:color w:val="auto"/>
          <w:sz w:val="28"/>
          <w:szCs w:val="36"/>
        </w:rPr>
        <w:t>四川省</w:t>
      </w:r>
      <w:r>
        <w:rPr>
          <w:rFonts w:hint="eastAsia" w:ascii="黑体" w:hAnsi="黑体" w:eastAsia="黑体" w:cs="黑体"/>
          <w:color w:val="auto"/>
          <w:sz w:val="28"/>
          <w:szCs w:val="36"/>
          <w:lang w:val="en-US" w:eastAsia="zh-CN"/>
        </w:rPr>
        <w:t>智能建造与建筑工业化</w:t>
      </w:r>
      <w:r>
        <w:rPr>
          <w:rFonts w:hint="eastAsia" w:ascii="黑体" w:hAnsi="黑体" w:eastAsia="黑体" w:cs="黑体"/>
          <w:color w:val="auto"/>
          <w:sz w:val="28"/>
          <w:szCs w:val="36"/>
        </w:rPr>
        <w:t xml:space="preserve">协会 </w:t>
      </w:r>
      <w:r>
        <w:rPr>
          <w:rFonts w:hint="eastAsia" w:ascii="黑体" w:hAnsi="黑体" w:eastAsia="黑体" w:cs="黑体"/>
          <w:color w:val="auto"/>
          <w:sz w:val="28"/>
          <w:szCs w:val="36"/>
          <w:lang w:val="en-US" w:eastAsia="zh-CN"/>
        </w:rPr>
        <w:t xml:space="preserve">       </w:t>
      </w:r>
      <w:r>
        <w:rPr>
          <w:rFonts w:hint="eastAsia" w:ascii="黑体" w:hAnsi="黑体" w:eastAsia="黑体" w:cs="黑体"/>
          <w:color w:val="auto"/>
          <w:sz w:val="28"/>
          <w:szCs w:val="36"/>
        </w:rPr>
        <w:t>发布</w:t>
      </w:r>
    </w:p>
    <w:p w14:paraId="3365F5A5">
      <w:pPr>
        <w:pStyle w:val="7"/>
        <w:spacing w:before="87" w:line="201" w:lineRule="auto"/>
        <w:ind w:left="1250" w:leftChars="521" w:right="1490" w:rightChars="621" w:firstLine="0" w:firstLineChars="0"/>
        <w:jc w:val="both"/>
        <w:outlineLvl w:val="9"/>
        <w:rPr>
          <w:rFonts w:hint="default" w:ascii="Times New Roman" w:hAnsi="Times New Roman" w:cs="Times New Roman"/>
          <w:b/>
          <w:bCs/>
          <w:color w:val="auto"/>
          <w:sz w:val="30"/>
          <w:szCs w:val="30"/>
        </w:rPr>
      </w:pPr>
    </w:p>
    <w:p w14:paraId="438710CD">
      <w:pPr>
        <w:spacing w:line="201" w:lineRule="auto"/>
        <w:outlineLvl w:val="9"/>
        <w:rPr>
          <w:rFonts w:hint="default" w:ascii="Times New Roman" w:hAnsi="Times New Roman" w:cs="Times New Roman"/>
          <w:color w:val="auto"/>
        </w:rPr>
        <w:sectPr>
          <w:pgSz w:w="11907" w:h="16839"/>
          <w:pgMar w:top="1053" w:right="760" w:bottom="160" w:left="1417" w:header="0" w:footer="0" w:gutter="0"/>
          <w:pgNumType w:fmt="decimal"/>
          <w:cols w:space="720" w:num="1"/>
        </w:sectPr>
      </w:pPr>
    </w:p>
    <w:p w14:paraId="6953D31C">
      <w:pPr>
        <w:pStyle w:val="7"/>
        <w:spacing w:before="313" w:line="240" w:lineRule="auto"/>
        <w:jc w:val="center"/>
        <w:outlineLvl w:val="9"/>
        <w:rPr>
          <w:rFonts w:hint="eastAsia" w:ascii="方正小标宋简体" w:hAnsi="方正小标宋简体" w:eastAsia="方正小标宋简体" w:cs="方正小标宋简体"/>
          <w:b w:val="0"/>
          <w:bCs/>
          <w:color w:val="auto"/>
          <w:sz w:val="28"/>
          <w:szCs w:val="28"/>
        </w:rPr>
      </w:pPr>
      <w:r>
        <w:rPr>
          <w:rFonts w:hint="eastAsia" w:ascii="方正小标宋简体" w:hAnsi="方正小标宋简体" w:eastAsia="方正小标宋简体" w:cs="方正小标宋简体"/>
          <w:b w:val="0"/>
          <w:bCs/>
          <w:color w:val="auto"/>
          <w:kern w:val="0"/>
          <w:sz w:val="28"/>
          <w:szCs w:val="28"/>
          <w:lang w:val="en-US" w:eastAsia="zh-CN" w:bidi="ar-SA"/>
        </w:rPr>
        <w:t>四川省智能建造与建筑工业化协会团体标准</w:t>
      </w:r>
    </w:p>
    <w:p w14:paraId="1079AA91">
      <w:pPr>
        <w:jc w:val="center"/>
        <w:rPr>
          <w:rFonts w:hint="default" w:ascii="Times New Roman" w:hAnsi="Times New Roman" w:eastAsia="华文中宋" w:cs="Times New Roman"/>
          <w:bCs/>
          <w:color w:val="auto"/>
          <w:sz w:val="44"/>
          <w:szCs w:val="44"/>
          <w:shd w:val="clear" w:color="auto" w:fill="FFFFFF"/>
          <w:lang w:val="en-US" w:eastAsia="zh-CN"/>
        </w:rPr>
      </w:pPr>
    </w:p>
    <w:p w14:paraId="343F9D93">
      <w:pPr>
        <w:spacing w:before="156" w:beforeLines="50" w:after="156" w:afterLines="50" w:line="360" w:lineRule="auto"/>
        <w:jc w:val="center"/>
        <w:outlineLvl w:val="9"/>
        <w:rPr>
          <w:rFonts w:hint="eastAsia" w:ascii="方正小标宋简体" w:hAnsi="方正小标宋简体" w:eastAsia="方正小标宋简体" w:cs="方正小标宋简体"/>
          <w:b w:val="0"/>
          <w:bCs/>
          <w:color w:val="auto"/>
          <w:kern w:val="0"/>
          <w:sz w:val="44"/>
          <w:szCs w:val="44"/>
        </w:rPr>
      </w:pPr>
      <w:r>
        <w:rPr>
          <w:rFonts w:hint="eastAsia" w:ascii="方正小标宋简体" w:hAnsi="方正小标宋简体" w:eastAsia="方正小标宋简体" w:cs="方正小标宋简体"/>
          <w:b w:val="0"/>
          <w:bCs/>
          <w:color w:val="auto"/>
          <w:kern w:val="0"/>
          <w:sz w:val="44"/>
          <w:szCs w:val="44"/>
          <w:lang w:val="en-US" w:eastAsia="zh-CN"/>
        </w:rPr>
        <w:t>四川省注仓式自保温装配式农房应用技术标准</w:t>
      </w:r>
    </w:p>
    <w:p w14:paraId="413143E8">
      <w:pPr>
        <w:spacing w:line="248" w:lineRule="auto"/>
        <w:jc w:val="center"/>
        <w:outlineLvl w:val="9"/>
        <w:rPr>
          <w:rFonts w:hint="default" w:ascii="Times New Roman" w:hAnsi="Times New Roman" w:eastAsia="宋体" w:cs="Times New Roman"/>
          <w:color w:val="auto"/>
          <w:kern w:val="2"/>
          <w:sz w:val="24"/>
          <w:szCs w:val="24"/>
          <w:u w:val="none"/>
          <w:lang w:val="en-US" w:eastAsia="zh-CN" w:bidi="ar-SA"/>
        </w:rPr>
      </w:pPr>
      <w:r>
        <w:rPr>
          <w:rFonts w:hint="default" w:ascii="Times New Roman" w:hAnsi="Times New Roman" w:eastAsia="宋体" w:cs="Times New Roman"/>
          <w:color w:val="auto"/>
          <w:spacing w:val="4"/>
          <w:kern w:val="2"/>
          <w:sz w:val="24"/>
          <w:szCs w:val="24"/>
          <w:lang w:val="en-US" w:eastAsia="zh-CN" w:bidi="ar-SA"/>
        </w:rPr>
        <w:t>Technical Standard for Application of Grouted Cubicle Self-</w:t>
      </w:r>
      <w:r>
        <w:rPr>
          <w:rFonts w:hint="eastAsia" w:ascii="Times New Roman" w:hAnsi="Times New Roman" w:cs="Times New Roman"/>
          <w:color w:val="auto"/>
          <w:spacing w:val="4"/>
          <w:kern w:val="2"/>
          <w:sz w:val="24"/>
          <w:szCs w:val="24"/>
          <w:lang w:val="en-US" w:eastAsia="zh-CN" w:bidi="ar-SA"/>
        </w:rPr>
        <w:t>Insulated</w:t>
      </w:r>
      <w:r>
        <w:rPr>
          <w:rFonts w:hint="default" w:ascii="Times New Roman" w:hAnsi="Times New Roman" w:eastAsia="宋体" w:cs="Times New Roman"/>
          <w:color w:val="auto"/>
          <w:spacing w:val="4"/>
          <w:kern w:val="2"/>
          <w:sz w:val="24"/>
          <w:szCs w:val="24"/>
          <w:lang w:val="en-US" w:eastAsia="zh-CN" w:bidi="ar-SA"/>
        </w:rPr>
        <w:t xml:space="preserve"> Prefabricated Rural Houses in Sichuan Province</w:t>
      </w:r>
    </w:p>
    <w:p w14:paraId="28BBE044">
      <w:pPr>
        <w:spacing w:line="248" w:lineRule="auto"/>
        <w:outlineLvl w:val="9"/>
        <w:rPr>
          <w:rFonts w:hint="default" w:ascii="Times New Roman" w:hAnsi="Times New Roman" w:cs="Times New Roman"/>
          <w:color w:val="auto"/>
          <w:sz w:val="21"/>
          <w:u w:val="none"/>
        </w:rPr>
      </w:pPr>
    </w:p>
    <w:p w14:paraId="2679A920">
      <w:pPr>
        <w:rPr>
          <w:rFonts w:hint="default" w:ascii="Times New Roman" w:hAnsi="Times New Roman" w:cs="Times New Roman"/>
          <w:color w:val="auto"/>
          <w:sz w:val="28"/>
          <w:szCs w:val="28"/>
          <w:shd w:val="clear" w:color="auto" w:fill="FFFFFF"/>
        </w:rPr>
      </w:pPr>
    </w:p>
    <w:p w14:paraId="1A743B85">
      <w:pPr>
        <w:jc w:val="center"/>
        <w:rPr>
          <w:rFonts w:hint="default" w:ascii="Times New Roman" w:hAnsi="Times New Roman" w:eastAsia="宋体" w:cs="Times New Roman"/>
          <w:b/>
          <w:bCs/>
          <w:color w:val="auto"/>
          <w:sz w:val="28"/>
          <w:szCs w:val="28"/>
          <w:shd w:val="clear" w:color="auto" w:fill="FFFFFF"/>
          <w:lang w:val="en-US" w:eastAsia="zh-CN"/>
        </w:rPr>
      </w:pPr>
      <w:r>
        <w:rPr>
          <w:rFonts w:hint="eastAsia" w:cs="Times New Roman"/>
          <w:b/>
          <w:bCs/>
          <w:color w:val="auto"/>
          <w:sz w:val="28"/>
          <w:szCs w:val="28"/>
          <w:shd w:val="clear" w:color="auto" w:fill="FFFFFF"/>
          <w:lang w:eastAsia="zh-CN"/>
        </w:rPr>
        <w:t>T/SICBIA  006-2026</w:t>
      </w:r>
    </w:p>
    <w:p w14:paraId="3FA918CD">
      <w:pPr>
        <w:ind w:firstLine="745"/>
        <w:jc w:val="center"/>
        <w:rPr>
          <w:rFonts w:hint="default" w:ascii="Times New Roman" w:hAnsi="Times New Roman" w:cs="Times New Roman"/>
          <w:color w:val="auto"/>
          <w:sz w:val="28"/>
          <w:szCs w:val="28"/>
          <w:shd w:val="clear" w:color="auto" w:fill="FFFFFF"/>
        </w:rPr>
      </w:pPr>
    </w:p>
    <w:tbl>
      <w:tblPr>
        <w:tblStyle w:val="1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75"/>
        <w:gridCol w:w="6496"/>
      </w:tblGrid>
      <w:tr w14:paraId="31379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11" w:type="dxa"/>
            <w:noWrap w:val="0"/>
            <w:vAlign w:val="top"/>
          </w:tcPr>
          <w:p w14:paraId="2E50D636">
            <w:pPr>
              <w:keepNext w:val="0"/>
              <w:keepLines w:val="0"/>
              <w:pageBreakBefore w:val="0"/>
              <w:widowControl w:val="0"/>
              <w:tabs>
                <w:tab w:val="right" w:pos="2520"/>
                <w:tab w:val="left" w:pos="2740"/>
                <w:tab w:val="left" w:pos="2940"/>
              </w:tabs>
              <w:kinsoku/>
              <w:wordWrap/>
              <w:overflowPunct/>
              <w:topLinePunct w:val="0"/>
              <w:autoSpaceDE/>
              <w:autoSpaceDN/>
              <w:bidi w:val="0"/>
              <w:adjustRightInd/>
              <w:snapToGrid/>
              <w:ind w:right="0" w:rightChars="0"/>
              <w:jc w:val="both"/>
              <w:textAlignment w:val="auto"/>
              <w:rPr>
                <w:rFonts w:hint="default" w:ascii="Times New Roman" w:hAnsi="Times New Roman" w:eastAsia="黑体" w:cs="Times New Roman"/>
                <w:snapToGrid w:val="0"/>
                <w:color w:val="auto"/>
                <w:spacing w:val="74"/>
                <w:kern w:val="30"/>
                <w:sz w:val="28"/>
                <w:szCs w:val="28"/>
                <w:shd w:val="clear" w:color="auto" w:fill="FFFFFF"/>
                <w:vertAlign w:val="baseline"/>
              </w:rPr>
            </w:pPr>
            <w:r>
              <w:rPr>
                <w:rFonts w:hint="default" w:ascii="Times New Roman" w:hAnsi="Times New Roman" w:eastAsia="黑体" w:cs="Times New Roman"/>
                <w:snapToGrid w:val="0"/>
                <w:color w:val="auto"/>
                <w:spacing w:val="74"/>
                <w:kern w:val="30"/>
                <w:sz w:val="28"/>
                <w:szCs w:val="28"/>
                <w:shd w:val="clear" w:color="auto" w:fill="FFFFFF"/>
              </w:rPr>
              <w:t>主编</w:t>
            </w:r>
            <w:r>
              <w:rPr>
                <w:rFonts w:hint="default" w:ascii="Times New Roman" w:hAnsi="Times New Roman" w:eastAsia="黑体" w:cs="Times New Roman"/>
                <w:snapToGrid w:val="0"/>
                <w:color w:val="auto"/>
                <w:spacing w:val="74"/>
                <w:kern w:val="30"/>
                <w:sz w:val="28"/>
                <w:szCs w:val="28"/>
                <w:shd w:val="clear" w:color="auto" w:fill="FFFFFF"/>
                <w:lang w:val="en-US" w:eastAsia="zh-CN"/>
              </w:rPr>
              <w:t>单位</w:t>
            </w:r>
            <w:r>
              <w:rPr>
                <w:rFonts w:hint="default" w:ascii="Times New Roman" w:hAnsi="Times New Roman" w:eastAsia="黑体" w:cs="Times New Roman"/>
                <w:snapToGrid w:val="0"/>
                <w:color w:val="auto"/>
                <w:spacing w:val="74"/>
                <w:kern w:val="30"/>
                <w:sz w:val="28"/>
                <w:szCs w:val="28"/>
                <w:shd w:val="clear" w:color="auto" w:fill="FFFFFF"/>
              </w:rPr>
              <w:t>：</w:t>
            </w:r>
          </w:p>
        </w:tc>
        <w:tc>
          <w:tcPr>
            <w:tcW w:w="6376" w:type="dxa"/>
            <w:noWrap w:val="0"/>
            <w:vAlign w:val="center"/>
          </w:tcPr>
          <w:p w14:paraId="2C9F85AF">
            <w:pPr>
              <w:keepNext w:val="0"/>
              <w:keepLines w:val="0"/>
              <w:pageBreakBefore w:val="0"/>
              <w:widowControl w:val="0"/>
              <w:tabs>
                <w:tab w:val="right" w:pos="2520"/>
                <w:tab w:val="left" w:pos="2740"/>
                <w:tab w:val="left" w:pos="2940"/>
              </w:tabs>
              <w:kinsoku/>
              <w:wordWrap/>
              <w:overflowPunct/>
              <w:topLinePunct w:val="0"/>
              <w:autoSpaceDE/>
              <w:autoSpaceDN/>
              <w:bidi w:val="0"/>
              <w:adjustRightInd/>
              <w:snapToGrid/>
              <w:ind w:right="1032" w:rightChars="430"/>
              <w:jc w:val="distribute"/>
              <w:textAlignment w:val="auto"/>
              <w:rPr>
                <w:rFonts w:hint="eastAsia" w:ascii="Times New Roman" w:hAnsi="Times New Roman" w:eastAsia="黑体" w:cs="Times New Roman"/>
                <w:color w:val="auto"/>
                <w:sz w:val="28"/>
                <w:szCs w:val="28"/>
                <w:shd w:val="clear" w:color="auto" w:fill="FFFFFF"/>
                <w:lang w:val="en-US" w:eastAsia="zh-CN"/>
              </w:rPr>
            </w:pPr>
            <w:r>
              <w:rPr>
                <w:rFonts w:hint="eastAsia" w:ascii="Times New Roman" w:hAnsi="Times New Roman" w:eastAsia="黑体" w:cs="Times New Roman"/>
                <w:color w:val="auto"/>
                <w:sz w:val="28"/>
                <w:szCs w:val="28"/>
                <w:shd w:val="clear" w:color="auto" w:fill="FFFFFF"/>
                <w:lang w:val="en-US" w:eastAsia="zh-CN"/>
              </w:rPr>
              <w:t>中国建筑西南设计研究院有限公司</w:t>
            </w:r>
          </w:p>
          <w:p w14:paraId="46374A39">
            <w:pPr>
              <w:keepNext w:val="0"/>
              <w:keepLines w:val="0"/>
              <w:pageBreakBefore w:val="0"/>
              <w:widowControl w:val="0"/>
              <w:tabs>
                <w:tab w:val="right" w:pos="2520"/>
                <w:tab w:val="left" w:pos="2740"/>
                <w:tab w:val="left" w:pos="2940"/>
              </w:tabs>
              <w:kinsoku/>
              <w:wordWrap/>
              <w:overflowPunct/>
              <w:topLinePunct w:val="0"/>
              <w:autoSpaceDE/>
              <w:autoSpaceDN/>
              <w:bidi w:val="0"/>
              <w:adjustRightInd/>
              <w:snapToGrid/>
              <w:ind w:right="1032" w:rightChars="430"/>
              <w:jc w:val="distribute"/>
              <w:textAlignment w:val="auto"/>
              <w:rPr>
                <w:rFonts w:hint="default" w:ascii="Times New Roman" w:hAnsi="Times New Roman" w:eastAsia="黑体" w:cs="Times New Roman"/>
                <w:color w:val="auto"/>
                <w:sz w:val="28"/>
                <w:szCs w:val="28"/>
                <w:shd w:val="clear" w:color="auto" w:fill="FFFFFF"/>
                <w:lang w:val="en-US" w:eastAsia="zh-CN"/>
              </w:rPr>
            </w:pPr>
            <w:r>
              <w:rPr>
                <w:rFonts w:hint="eastAsia" w:ascii="Times New Roman" w:hAnsi="Times New Roman" w:eastAsia="黑体" w:cs="Times New Roman"/>
                <w:color w:val="auto"/>
                <w:sz w:val="28"/>
                <w:szCs w:val="28"/>
                <w:shd w:val="clear" w:color="auto" w:fill="FFFFFF"/>
                <w:lang w:val="en-US" w:eastAsia="zh-CN"/>
              </w:rPr>
              <w:t>成都魔筑科技有限公司</w:t>
            </w:r>
          </w:p>
        </w:tc>
      </w:tr>
      <w:tr w14:paraId="6FEBA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11" w:type="dxa"/>
            <w:noWrap w:val="0"/>
            <w:vAlign w:val="center"/>
          </w:tcPr>
          <w:p w14:paraId="59BB3ECF">
            <w:pPr>
              <w:keepNext w:val="0"/>
              <w:keepLines w:val="0"/>
              <w:pageBreakBefore w:val="0"/>
              <w:widowControl w:val="0"/>
              <w:tabs>
                <w:tab w:val="right" w:pos="2520"/>
                <w:tab w:val="left" w:pos="2740"/>
                <w:tab w:val="left" w:pos="2940"/>
              </w:tabs>
              <w:kinsoku/>
              <w:wordWrap/>
              <w:overflowPunct/>
              <w:topLinePunct w:val="0"/>
              <w:autoSpaceDE/>
              <w:autoSpaceDN/>
              <w:bidi w:val="0"/>
              <w:adjustRightInd/>
              <w:snapToGrid/>
              <w:ind w:right="0" w:rightChars="0"/>
              <w:jc w:val="both"/>
              <w:textAlignment w:val="auto"/>
              <w:rPr>
                <w:rFonts w:hint="default" w:ascii="Times New Roman" w:hAnsi="Times New Roman" w:eastAsia="黑体" w:cs="Times New Roman"/>
                <w:snapToGrid w:val="0"/>
                <w:color w:val="auto"/>
                <w:spacing w:val="74"/>
                <w:kern w:val="30"/>
                <w:sz w:val="28"/>
                <w:szCs w:val="28"/>
                <w:shd w:val="clear" w:color="auto" w:fill="FFFFFF"/>
                <w:vertAlign w:val="baseline"/>
              </w:rPr>
            </w:pPr>
            <w:r>
              <w:rPr>
                <w:rFonts w:hint="default" w:ascii="Times New Roman" w:hAnsi="Times New Roman" w:eastAsia="黑体" w:cs="Times New Roman"/>
                <w:snapToGrid w:val="0"/>
                <w:color w:val="auto"/>
                <w:spacing w:val="74"/>
                <w:kern w:val="30"/>
                <w:sz w:val="28"/>
                <w:szCs w:val="28"/>
                <w:shd w:val="clear" w:color="auto" w:fill="FFFFFF"/>
              </w:rPr>
              <w:t>批准</w:t>
            </w:r>
            <w:r>
              <w:rPr>
                <w:rFonts w:hint="default" w:ascii="Times New Roman" w:hAnsi="Times New Roman" w:eastAsia="黑体" w:cs="Times New Roman"/>
                <w:snapToGrid w:val="0"/>
                <w:color w:val="auto"/>
                <w:spacing w:val="74"/>
                <w:kern w:val="30"/>
                <w:sz w:val="28"/>
                <w:szCs w:val="28"/>
                <w:shd w:val="clear" w:color="auto" w:fill="FFFFFF"/>
                <w:lang w:val="en-US" w:eastAsia="zh-CN"/>
              </w:rPr>
              <w:t>单位</w:t>
            </w:r>
            <w:r>
              <w:rPr>
                <w:rFonts w:hint="default" w:ascii="Times New Roman" w:hAnsi="Times New Roman" w:eastAsia="黑体" w:cs="Times New Roman"/>
                <w:snapToGrid w:val="0"/>
                <w:color w:val="auto"/>
                <w:spacing w:val="74"/>
                <w:kern w:val="30"/>
                <w:sz w:val="28"/>
                <w:szCs w:val="28"/>
                <w:shd w:val="clear" w:color="auto" w:fill="FFFFFF"/>
              </w:rPr>
              <w:t>：</w:t>
            </w:r>
          </w:p>
        </w:tc>
        <w:tc>
          <w:tcPr>
            <w:tcW w:w="6376" w:type="dxa"/>
            <w:noWrap w:val="0"/>
            <w:vAlign w:val="center"/>
          </w:tcPr>
          <w:p w14:paraId="3A8A437E">
            <w:pPr>
              <w:keepNext w:val="0"/>
              <w:keepLines w:val="0"/>
              <w:pageBreakBefore w:val="0"/>
              <w:widowControl w:val="0"/>
              <w:tabs>
                <w:tab w:val="right" w:pos="2520"/>
                <w:tab w:val="left" w:pos="2740"/>
                <w:tab w:val="left" w:pos="2940"/>
              </w:tabs>
              <w:kinsoku/>
              <w:wordWrap/>
              <w:overflowPunct/>
              <w:topLinePunct w:val="0"/>
              <w:autoSpaceDE/>
              <w:autoSpaceDN/>
              <w:bidi w:val="0"/>
              <w:adjustRightInd/>
              <w:snapToGrid/>
              <w:ind w:left="0" w:leftChars="0" w:right="960" w:rightChars="400"/>
              <w:jc w:val="both"/>
              <w:textAlignment w:val="auto"/>
              <w:rPr>
                <w:rFonts w:hint="default" w:ascii="Times New Roman" w:hAnsi="Times New Roman" w:eastAsia="黑体" w:cs="Times New Roman"/>
                <w:snapToGrid w:val="0"/>
                <w:color w:val="auto"/>
                <w:spacing w:val="74"/>
                <w:kern w:val="30"/>
                <w:sz w:val="28"/>
                <w:szCs w:val="28"/>
                <w:shd w:val="clear" w:color="auto" w:fill="FFFFFF"/>
                <w:vertAlign w:val="baseline"/>
              </w:rPr>
            </w:pPr>
            <w:r>
              <w:rPr>
                <w:rFonts w:hint="default" w:ascii="Times New Roman" w:hAnsi="Times New Roman" w:eastAsia="黑体" w:cs="Times New Roman"/>
                <w:snapToGrid w:val="0"/>
                <w:color w:val="auto"/>
                <w:spacing w:val="40"/>
                <w:kern w:val="0"/>
                <w:sz w:val="28"/>
                <w:szCs w:val="28"/>
                <w:shd w:val="clear" w:color="auto" w:fill="FFFFFF"/>
                <w:fitText w:val="5320" w:id="319710688"/>
                <w:lang w:val="en-US" w:eastAsia="zh-CN"/>
              </w:rPr>
              <w:t>四川省</w:t>
            </w:r>
            <w:r>
              <w:rPr>
                <w:rFonts w:hint="eastAsia" w:eastAsia="黑体" w:cs="Times New Roman"/>
                <w:snapToGrid w:val="0"/>
                <w:color w:val="auto"/>
                <w:spacing w:val="40"/>
                <w:kern w:val="0"/>
                <w:sz w:val="28"/>
                <w:szCs w:val="28"/>
                <w:shd w:val="clear" w:color="auto" w:fill="FFFFFF"/>
                <w:fitText w:val="5320" w:id="319710688"/>
                <w:lang w:val="en-US" w:eastAsia="zh-CN"/>
              </w:rPr>
              <w:t>智能建造与建筑工业化</w:t>
            </w:r>
            <w:r>
              <w:rPr>
                <w:rFonts w:hint="default" w:ascii="Times New Roman" w:hAnsi="Times New Roman" w:eastAsia="黑体" w:cs="Times New Roman"/>
                <w:snapToGrid w:val="0"/>
                <w:color w:val="auto"/>
                <w:spacing w:val="40"/>
                <w:kern w:val="0"/>
                <w:sz w:val="28"/>
                <w:szCs w:val="28"/>
                <w:shd w:val="clear" w:color="auto" w:fill="FFFFFF"/>
                <w:fitText w:val="5320" w:id="319710688"/>
                <w:lang w:val="en-US" w:eastAsia="zh-CN"/>
              </w:rPr>
              <w:t>协</w:t>
            </w:r>
            <w:r>
              <w:rPr>
                <w:rFonts w:hint="default" w:ascii="Times New Roman" w:hAnsi="Times New Roman" w:eastAsia="黑体" w:cs="Times New Roman"/>
                <w:snapToGrid w:val="0"/>
                <w:color w:val="auto"/>
                <w:spacing w:val="0"/>
                <w:kern w:val="0"/>
                <w:sz w:val="28"/>
                <w:szCs w:val="28"/>
                <w:shd w:val="clear" w:color="auto" w:fill="FFFFFF"/>
                <w:fitText w:val="5320" w:id="319710688"/>
                <w:lang w:val="en-US" w:eastAsia="zh-CN"/>
              </w:rPr>
              <w:t>会</w:t>
            </w:r>
          </w:p>
        </w:tc>
      </w:tr>
      <w:tr w14:paraId="48576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911" w:type="dxa"/>
            <w:noWrap w:val="0"/>
            <w:vAlign w:val="center"/>
          </w:tcPr>
          <w:p w14:paraId="5E2387C7">
            <w:pPr>
              <w:keepNext w:val="0"/>
              <w:keepLines w:val="0"/>
              <w:pageBreakBefore w:val="0"/>
              <w:widowControl w:val="0"/>
              <w:tabs>
                <w:tab w:val="right" w:pos="2520"/>
                <w:tab w:val="left" w:pos="2740"/>
                <w:tab w:val="left" w:pos="2940"/>
              </w:tabs>
              <w:kinsoku/>
              <w:wordWrap/>
              <w:overflowPunct/>
              <w:topLinePunct w:val="0"/>
              <w:autoSpaceDE/>
              <w:autoSpaceDN/>
              <w:bidi w:val="0"/>
              <w:adjustRightInd/>
              <w:snapToGrid/>
              <w:ind w:right="0" w:rightChars="0"/>
              <w:jc w:val="both"/>
              <w:textAlignment w:val="auto"/>
              <w:rPr>
                <w:rFonts w:hint="default" w:ascii="Times New Roman" w:hAnsi="Times New Roman" w:eastAsia="黑体" w:cs="Times New Roman"/>
                <w:snapToGrid w:val="0"/>
                <w:color w:val="auto"/>
                <w:spacing w:val="74"/>
                <w:kern w:val="30"/>
                <w:sz w:val="28"/>
                <w:szCs w:val="28"/>
                <w:shd w:val="clear" w:color="auto" w:fill="FFFFFF"/>
                <w:vertAlign w:val="baseline"/>
              </w:rPr>
            </w:pPr>
            <w:r>
              <w:rPr>
                <w:rFonts w:hint="default" w:ascii="Times New Roman" w:hAnsi="Times New Roman" w:eastAsia="黑体" w:cs="Times New Roman"/>
                <w:snapToGrid w:val="0"/>
                <w:color w:val="auto"/>
                <w:spacing w:val="74"/>
                <w:kern w:val="30"/>
                <w:sz w:val="28"/>
                <w:szCs w:val="28"/>
                <w:shd w:val="clear" w:color="auto" w:fill="FFFFFF"/>
              </w:rPr>
              <w:t>施行日期：</w:t>
            </w:r>
          </w:p>
        </w:tc>
        <w:tc>
          <w:tcPr>
            <w:tcW w:w="6376" w:type="dxa"/>
            <w:noWrap w:val="0"/>
            <w:vAlign w:val="center"/>
          </w:tcPr>
          <w:p w14:paraId="574DF576">
            <w:pPr>
              <w:keepNext w:val="0"/>
              <w:keepLines w:val="0"/>
              <w:pageBreakBefore w:val="0"/>
              <w:widowControl w:val="0"/>
              <w:tabs>
                <w:tab w:val="right" w:pos="2940"/>
              </w:tabs>
              <w:kinsoku/>
              <w:wordWrap/>
              <w:overflowPunct/>
              <w:topLinePunct w:val="0"/>
              <w:autoSpaceDE/>
              <w:autoSpaceDN/>
              <w:bidi w:val="0"/>
              <w:adjustRightInd/>
              <w:snapToGrid/>
              <w:ind w:left="69" w:leftChars="29" w:right="861" w:rightChars="359" w:firstLine="0" w:firstLineChars="0"/>
              <w:jc w:val="distribute"/>
              <w:textAlignment w:val="auto"/>
              <w:rPr>
                <w:rFonts w:hint="default" w:ascii="Times New Roman" w:hAnsi="Times New Roman" w:eastAsia="黑体" w:cs="Times New Roman"/>
                <w:snapToGrid w:val="0"/>
                <w:color w:val="auto"/>
                <w:spacing w:val="74"/>
                <w:kern w:val="30"/>
                <w:sz w:val="28"/>
                <w:szCs w:val="28"/>
                <w:shd w:val="clear" w:color="auto" w:fill="FFFFFF"/>
                <w:vertAlign w:val="baseline"/>
                <w:lang w:val="en-US" w:eastAsia="zh-CN"/>
              </w:rPr>
            </w:pPr>
            <w:r>
              <w:rPr>
                <w:rFonts w:hint="default" w:ascii="Times New Roman" w:hAnsi="Times New Roman" w:eastAsia="黑体" w:cs="Times New Roman"/>
                <w:snapToGrid w:val="0"/>
                <w:color w:val="auto"/>
                <w:spacing w:val="74"/>
                <w:kern w:val="30"/>
                <w:sz w:val="28"/>
                <w:szCs w:val="28"/>
                <w:shd w:val="clear" w:color="auto" w:fill="FFFFFF"/>
              </w:rPr>
              <w:t>202</w:t>
            </w:r>
            <w:r>
              <w:rPr>
                <w:rFonts w:hint="eastAsia" w:eastAsia="黑体" w:cs="Times New Roman"/>
                <w:snapToGrid w:val="0"/>
                <w:color w:val="auto"/>
                <w:spacing w:val="74"/>
                <w:kern w:val="30"/>
                <w:sz w:val="28"/>
                <w:szCs w:val="28"/>
                <w:shd w:val="clear" w:color="auto" w:fill="FFFFFF"/>
                <w:lang w:val="en-US" w:eastAsia="zh-CN"/>
              </w:rPr>
              <w:t>6</w:t>
            </w:r>
            <w:r>
              <w:rPr>
                <w:rFonts w:hint="default" w:ascii="Times New Roman" w:hAnsi="Times New Roman" w:eastAsia="黑体" w:cs="Times New Roman"/>
                <w:snapToGrid w:val="0"/>
                <w:color w:val="auto"/>
                <w:spacing w:val="74"/>
                <w:kern w:val="30"/>
                <w:sz w:val="28"/>
                <w:szCs w:val="28"/>
                <w:shd w:val="clear" w:color="auto" w:fill="FFFFFF"/>
              </w:rPr>
              <w:t>年</w:t>
            </w:r>
            <w:r>
              <w:rPr>
                <w:rFonts w:hint="eastAsia" w:eastAsia="黑体" w:cs="Times New Roman"/>
                <w:snapToGrid w:val="0"/>
                <w:color w:val="auto"/>
                <w:spacing w:val="74"/>
                <w:kern w:val="30"/>
                <w:sz w:val="28"/>
                <w:szCs w:val="28"/>
                <w:shd w:val="clear" w:color="auto" w:fill="FFFFFF"/>
                <w:lang w:val="en-US" w:eastAsia="zh-CN"/>
              </w:rPr>
              <w:t>**</w:t>
            </w:r>
            <w:r>
              <w:rPr>
                <w:rFonts w:hint="default" w:ascii="Times New Roman" w:hAnsi="Times New Roman" w:eastAsia="黑体" w:cs="Times New Roman"/>
                <w:snapToGrid w:val="0"/>
                <w:color w:val="auto"/>
                <w:spacing w:val="74"/>
                <w:kern w:val="30"/>
                <w:sz w:val="28"/>
                <w:szCs w:val="28"/>
                <w:shd w:val="clear" w:color="auto" w:fill="FFFFFF"/>
              </w:rPr>
              <w:t>月</w:t>
            </w:r>
            <w:r>
              <w:rPr>
                <w:rFonts w:hint="eastAsia" w:eastAsia="黑体" w:cs="Times New Roman"/>
                <w:snapToGrid w:val="0"/>
                <w:color w:val="auto"/>
                <w:spacing w:val="74"/>
                <w:kern w:val="30"/>
                <w:sz w:val="28"/>
                <w:szCs w:val="28"/>
                <w:shd w:val="clear" w:color="auto" w:fill="FFFFFF"/>
                <w:lang w:val="en-US" w:eastAsia="zh-CN"/>
              </w:rPr>
              <w:t>**</w:t>
            </w:r>
            <w:r>
              <w:rPr>
                <w:rFonts w:hint="default" w:ascii="Times New Roman" w:hAnsi="Times New Roman" w:eastAsia="黑体" w:cs="Times New Roman"/>
                <w:snapToGrid w:val="0"/>
                <w:color w:val="auto"/>
                <w:spacing w:val="74"/>
                <w:kern w:val="30"/>
                <w:sz w:val="28"/>
                <w:szCs w:val="28"/>
                <w:shd w:val="clear" w:color="auto" w:fill="FFFFFF"/>
              </w:rPr>
              <w:t>日</w:t>
            </w:r>
          </w:p>
        </w:tc>
      </w:tr>
    </w:tbl>
    <w:p w14:paraId="7C301BC0">
      <w:pPr>
        <w:keepNext w:val="0"/>
        <w:keepLines w:val="0"/>
        <w:pageBreakBefore w:val="0"/>
        <w:widowControl w:val="0"/>
        <w:tabs>
          <w:tab w:val="left" w:pos="2940"/>
        </w:tabs>
        <w:kinsoku/>
        <w:wordWrap/>
        <w:overflowPunct/>
        <w:topLinePunct w:val="0"/>
        <w:autoSpaceDE/>
        <w:autoSpaceDN/>
        <w:bidi w:val="0"/>
        <w:adjustRightInd/>
        <w:snapToGrid/>
        <w:ind w:left="3410" w:leftChars="1421" w:right="806" w:rightChars="336" w:firstLine="0" w:firstLineChars="0"/>
        <w:jc w:val="distribute"/>
        <w:textAlignment w:val="auto"/>
        <w:rPr>
          <w:rFonts w:hint="default" w:ascii="Times New Roman" w:hAnsi="Times New Roman" w:eastAsia="黑体" w:cs="Times New Roman"/>
          <w:snapToGrid w:val="0"/>
          <w:color w:val="auto"/>
          <w:spacing w:val="74"/>
          <w:kern w:val="30"/>
          <w:sz w:val="28"/>
          <w:szCs w:val="28"/>
          <w:shd w:val="clear" w:color="auto" w:fill="FFFFFF"/>
          <w:lang w:val="en-US" w:eastAsia="zh-CN"/>
        </w:rPr>
      </w:pPr>
    </w:p>
    <w:p w14:paraId="55488499">
      <w:pPr>
        <w:keepNext w:val="0"/>
        <w:keepLines w:val="0"/>
        <w:pageBreakBefore w:val="0"/>
        <w:widowControl w:val="0"/>
        <w:tabs>
          <w:tab w:val="left" w:pos="2940"/>
        </w:tabs>
        <w:kinsoku/>
        <w:wordWrap/>
        <w:overflowPunct/>
        <w:topLinePunct w:val="0"/>
        <w:autoSpaceDE/>
        <w:autoSpaceDN/>
        <w:bidi w:val="0"/>
        <w:adjustRightInd/>
        <w:snapToGrid/>
        <w:ind w:left="3410" w:leftChars="1421" w:right="806" w:rightChars="336" w:firstLine="0" w:firstLineChars="0"/>
        <w:jc w:val="distribute"/>
        <w:textAlignment w:val="auto"/>
        <w:rPr>
          <w:rFonts w:hint="default" w:ascii="Times New Roman" w:hAnsi="Times New Roman" w:eastAsia="黑体" w:cs="Times New Roman"/>
          <w:snapToGrid w:val="0"/>
          <w:color w:val="auto"/>
          <w:spacing w:val="74"/>
          <w:kern w:val="30"/>
          <w:sz w:val="28"/>
          <w:szCs w:val="28"/>
          <w:shd w:val="clear" w:color="auto" w:fill="FFFFFF"/>
          <w:lang w:val="en-US" w:eastAsia="zh-CN"/>
        </w:rPr>
      </w:pPr>
    </w:p>
    <w:p w14:paraId="39E3A925">
      <w:pPr>
        <w:keepNext w:val="0"/>
        <w:keepLines w:val="0"/>
        <w:pageBreakBefore w:val="0"/>
        <w:widowControl w:val="0"/>
        <w:tabs>
          <w:tab w:val="left" w:pos="2940"/>
        </w:tabs>
        <w:kinsoku/>
        <w:wordWrap/>
        <w:overflowPunct/>
        <w:topLinePunct w:val="0"/>
        <w:autoSpaceDE/>
        <w:autoSpaceDN/>
        <w:bidi w:val="0"/>
        <w:adjustRightInd/>
        <w:snapToGrid/>
        <w:ind w:right="806" w:rightChars="336"/>
        <w:jc w:val="distribute"/>
        <w:textAlignment w:val="auto"/>
        <w:rPr>
          <w:rFonts w:hint="default" w:ascii="Times New Roman" w:hAnsi="Times New Roman" w:eastAsia="黑体" w:cs="Times New Roman"/>
          <w:color w:val="auto"/>
          <w:sz w:val="28"/>
          <w:szCs w:val="28"/>
          <w:shd w:val="clear" w:color="auto" w:fill="FFFFFF"/>
          <w:lang w:val="en-US" w:eastAsia="zh-CN"/>
        </w:rPr>
      </w:pPr>
      <w:r>
        <w:rPr>
          <w:rFonts w:hint="default" w:ascii="Times New Roman" w:hAnsi="Times New Roman" w:eastAsia="黑体" w:cs="Times New Roman"/>
          <w:snapToGrid w:val="0"/>
          <w:color w:val="auto"/>
          <w:spacing w:val="74"/>
          <w:kern w:val="30"/>
          <w:sz w:val="28"/>
          <w:szCs w:val="28"/>
          <w:shd w:val="clear" w:color="auto" w:fill="FFFFFF"/>
          <w:lang w:val="en-US" w:eastAsia="zh-CN"/>
        </w:rPr>
        <w:tab/>
      </w:r>
      <w:r>
        <w:rPr>
          <w:rFonts w:hint="default" w:ascii="Times New Roman" w:hAnsi="Times New Roman" w:eastAsia="黑体" w:cs="Times New Roman"/>
          <w:snapToGrid w:val="0"/>
          <w:color w:val="auto"/>
          <w:spacing w:val="74"/>
          <w:kern w:val="30"/>
          <w:sz w:val="28"/>
          <w:szCs w:val="28"/>
          <w:shd w:val="clear" w:color="auto" w:fill="FFFFFF"/>
          <w:lang w:val="en-US" w:eastAsia="zh-CN"/>
        </w:rPr>
        <w:tab/>
      </w:r>
      <w:r>
        <w:rPr>
          <w:rFonts w:hint="default" w:ascii="Times New Roman" w:hAnsi="Times New Roman" w:eastAsia="黑体" w:cs="Times New Roman"/>
          <w:snapToGrid w:val="0"/>
          <w:color w:val="auto"/>
          <w:spacing w:val="74"/>
          <w:kern w:val="30"/>
          <w:sz w:val="28"/>
          <w:szCs w:val="28"/>
          <w:shd w:val="clear" w:color="auto" w:fill="FFFFFF"/>
          <w:lang w:val="en-US" w:eastAsia="zh-CN"/>
        </w:rPr>
        <w:tab/>
      </w:r>
    </w:p>
    <w:p w14:paraId="5D50CDC6">
      <w:pPr>
        <w:jc w:val="center"/>
        <w:rPr>
          <w:rFonts w:hint="default" w:ascii="Times New Roman" w:hAnsi="Times New Roman" w:cs="Times New Roman"/>
          <w:color w:val="auto"/>
          <w:sz w:val="28"/>
          <w:szCs w:val="28"/>
          <w:shd w:val="clear" w:color="auto" w:fill="FFFFFF"/>
        </w:rPr>
      </w:pPr>
      <w:r>
        <w:rPr>
          <w:rFonts w:hint="default" w:ascii="Times New Roman" w:hAnsi="Times New Roman" w:cs="Times New Roman"/>
          <w:b/>
          <w:bCs/>
          <w:color w:val="auto"/>
          <w:sz w:val="28"/>
          <w:szCs w:val="28"/>
          <w:shd w:val="clear" w:color="auto" w:fill="FFFFFF"/>
        </w:rPr>
        <w:t>XXXX</w:t>
      </w:r>
      <w:r>
        <w:rPr>
          <w:rFonts w:hint="default" w:ascii="Times New Roman" w:hAnsi="Times New Roman" w:eastAsia="华文仿宋" w:cs="Times New Roman"/>
          <w:color w:val="auto"/>
          <w:sz w:val="28"/>
          <w:szCs w:val="28"/>
          <w:shd w:val="clear" w:color="auto" w:fill="FFFFFF"/>
        </w:rPr>
        <w:t>出版社</w:t>
      </w:r>
    </w:p>
    <w:p w14:paraId="663D0838">
      <w:pPr>
        <w:jc w:val="center"/>
        <w:rPr>
          <w:rFonts w:hint="default" w:ascii="Times New Roman" w:hAnsi="Times New Roman" w:eastAsia="黑体" w:cs="Times New Roman"/>
          <w:b/>
          <w:bCs/>
          <w:color w:val="auto"/>
          <w:sz w:val="28"/>
          <w:szCs w:val="28"/>
          <w:shd w:val="clear" w:color="auto" w:fill="FFFFFF"/>
        </w:rPr>
        <w:sectPr>
          <w:footerReference r:id="rId5" w:type="default"/>
          <w:pgSz w:w="11905" w:h="16838"/>
          <w:pgMar w:top="1417" w:right="1417" w:bottom="1417" w:left="1417" w:header="850" w:footer="992" w:gutter="0"/>
          <w:pgNumType w:fmt="decimal" w:start="1"/>
          <w:cols w:space="720" w:num="1"/>
          <w:titlePg/>
          <w:docGrid w:type="linesAndChars" w:linePitch="318" w:charSpace="0"/>
        </w:sectPr>
      </w:pPr>
      <w:r>
        <w:rPr>
          <w:rFonts w:hint="default" w:ascii="Times New Roman" w:hAnsi="Times New Roman" w:eastAsia="黑体" w:cs="Times New Roman"/>
          <w:b/>
          <w:bCs/>
          <w:color w:val="auto"/>
          <w:sz w:val="28"/>
          <w:szCs w:val="28"/>
          <w:shd w:val="clear" w:color="auto" w:fill="FFFFFF"/>
        </w:rPr>
        <w:t>202</w:t>
      </w:r>
      <w:r>
        <w:rPr>
          <w:rFonts w:hint="eastAsia" w:eastAsia="黑体" w:cs="Times New Roman"/>
          <w:b/>
          <w:bCs/>
          <w:color w:val="auto"/>
          <w:spacing w:val="108"/>
          <w:sz w:val="28"/>
          <w:szCs w:val="28"/>
          <w:shd w:val="clear" w:color="auto" w:fill="FFFFFF"/>
          <w:lang w:val="en-US" w:eastAsia="zh-CN"/>
        </w:rPr>
        <w:t>6</w:t>
      </w:r>
      <w:r>
        <w:rPr>
          <w:rFonts w:hint="default" w:ascii="Times New Roman" w:hAnsi="Times New Roman" w:eastAsia="黑体" w:cs="Times New Roman"/>
          <w:b/>
          <w:bCs/>
          <w:color w:val="auto"/>
          <w:spacing w:val="108"/>
          <w:sz w:val="28"/>
          <w:szCs w:val="28"/>
          <w:shd w:val="clear" w:color="auto" w:fill="FFFFFF"/>
        </w:rPr>
        <w:t xml:space="preserve"> </w:t>
      </w:r>
      <w:r>
        <w:rPr>
          <w:rFonts w:hint="default" w:ascii="Times New Roman" w:hAnsi="Times New Roman" w:eastAsia="黑体" w:cs="Times New Roman"/>
          <w:b/>
          <w:bCs/>
          <w:color w:val="auto"/>
          <w:sz w:val="28"/>
          <w:szCs w:val="28"/>
          <w:shd w:val="clear" w:color="auto" w:fill="FFFFFF"/>
        </w:rPr>
        <w:t>成 都</w:t>
      </w:r>
    </w:p>
    <w:p w14:paraId="353C0D91">
      <w:pPr>
        <w:spacing w:line="360" w:lineRule="auto"/>
        <w:jc w:val="center"/>
        <w:rPr>
          <w:rFonts w:hint="default" w:ascii="Times New Roman" w:hAnsi="Times New Roman" w:eastAsia="黑体" w:cs="Times New Roman"/>
          <w:color w:val="auto"/>
          <w:sz w:val="36"/>
          <w:szCs w:val="36"/>
          <w:shd w:val="clear" w:color="auto" w:fill="FFFFFF"/>
          <w:lang w:val="en-US" w:eastAsia="zh-CN"/>
        </w:rPr>
      </w:pPr>
      <w:r>
        <w:rPr>
          <w:rFonts w:hint="default" w:ascii="Times New Roman" w:hAnsi="Times New Roman" w:eastAsia="黑体" w:cs="Times New Roman"/>
          <w:color w:val="auto"/>
          <w:sz w:val="36"/>
          <w:szCs w:val="36"/>
          <w:shd w:val="clear" w:color="auto" w:fill="FFFFFF"/>
          <w:lang w:val="en-US" w:eastAsia="zh-CN"/>
        </w:rPr>
        <w:t>前</w:t>
      </w:r>
      <w:r>
        <w:rPr>
          <w:rFonts w:hint="eastAsia" w:eastAsia="黑体" w:cs="Times New Roman"/>
          <w:color w:val="auto"/>
          <w:sz w:val="36"/>
          <w:szCs w:val="36"/>
          <w:shd w:val="clear" w:color="auto" w:fill="FFFFFF"/>
          <w:lang w:val="en-US" w:eastAsia="zh-CN"/>
        </w:rPr>
        <w:t xml:space="preserve"> </w:t>
      </w:r>
      <w:r>
        <w:rPr>
          <w:rFonts w:hint="default" w:ascii="Times New Roman" w:hAnsi="Times New Roman" w:eastAsia="黑体" w:cs="Times New Roman"/>
          <w:color w:val="auto"/>
          <w:sz w:val="36"/>
          <w:szCs w:val="36"/>
          <w:shd w:val="clear" w:color="auto" w:fill="FFFFFF"/>
          <w:lang w:val="en-US" w:eastAsia="zh-CN"/>
        </w:rPr>
        <w:t xml:space="preserve"> 言</w:t>
      </w:r>
    </w:p>
    <w:p w14:paraId="44586578">
      <w:pPr>
        <w:keepNext w:val="0"/>
        <w:keepLines w:val="0"/>
        <w:pageBreakBefore w:val="0"/>
        <w:widowControl w:val="0"/>
        <w:pBdr>
          <w:top w:val="none" w:color="auto" w:sz="0" w:space="0"/>
          <w:left w:val="none" w:color="auto" w:sz="0" w:space="0"/>
          <w:bottom w:val="none" w:color="auto" w:sz="0" w:space="0"/>
          <w:right w:val="none" w:color="auto" w:sz="0" w:space="0"/>
        </w:pBdr>
        <w:tabs>
          <w:tab w:val="left" w:pos="2100"/>
          <w:tab w:val="left" w:pos="35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shd w:val="clear" w:color="auto" w:fill="FFFFFF"/>
          <w:lang w:val="en-US" w:eastAsia="zh-CN"/>
        </w:rPr>
      </w:pPr>
      <w:r>
        <w:rPr>
          <w:rFonts w:hint="default" w:ascii="Times New Roman" w:hAnsi="Times New Roman" w:eastAsia="宋体" w:cs="Times New Roman"/>
          <w:color w:val="auto"/>
          <w:sz w:val="24"/>
          <w:szCs w:val="24"/>
          <w:shd w:val="clear" w:color="auto" w:fill="FFFFFF"/>
          <w:lang w:val="en-US" w:eastAsia="zh-CN"/>
        </w:rPr>
        <w:t>本规程是根据《四川省智能建造与建筑工业化协会关于</w:t>
      </w:r>
      <w:r>
        <w:rPr>
          <w:rFonts w:hint="eastAsia" w:ascii="Times New Roman" w:hAnsi="Times New Roman" w:eastAsia="宋体" w:cs="Times New Roman"/>
          <w:sz w:val="24"/>
          <w:szCs w:val="24"/>
          <w:shd w:val="clear" w:color="auto" w:fill="FFFFFF"/>
        </w:rPr>
        <w:t>〈</w:t>
      </w:r>
      <w:r>
        <w:rPr>
          <w:rFonts w:hint="default" w:ascii="Times New Roman" w:hAnsi="Times New Roman" w:eastAsia="宋体" w:cs="Times New Roman"/>
          <w:color w:val="auto"/>
          <w:sz w:val="24"/>
          <w:szCs w:val="24"/>
          <w:shd w:val="clear" w:color="auto" w:fill="FFFFFF"/>
          <w:lang w:val="en-US" w:eastAsia="zh-CN"/>
        </w:rPr>
        <w:t>四川省注仓式自保温装配式农房应用技术标准</w:t>
      </w:r>
      <w:r>
        <w:rPr>
          <w:rFonts w:hint="eastAsia" w:ascii="Times New Roman" w:hAnsi="Times New Roman" w:eastAsia="宋体" w:cs="Times New Roman"/>
          <w:sz w:val="24"/>
          <w:szCs w:val="24"/>
          <w:shd w:val="clear" w:color="auto" w:fill="FFFFFF"/>
        </w:rPr>
        <w:t>〉</w:t>
      </w:r>
      <w:r>
        <w:rPr>
          <w:rFonts w:hint="default" w:ascii="Times New Roman" w:hAnsi="Times New Roman" w:eastAsia="宋体" w:cs="Times New Roman"/>
          <w:color w:val="auto"/>
          <w:sz w:val="24"/>
          <w:szCs w:val="24"/>
          <w:shd w:val="clear" w:color="auto" w:fill="FFFFFF"/>
          <w:lang w:val="en-US" w:eastAsia="zh-CN"/>
        </w:rPr>
        <w:t>团体标准的立项公示》的要求，由中国建筑西南设计研究院有限公司</w:t>
      </w:r>
      <w:r>
        <w:rPr>
          <w:rFonts w:hint="eastAsia" w:ascii="Times New Roman" w:hAnsi="Times New Roman" w:eastAsia="宋体" w:cs="Times New Roman"/>
          <w:color w:val="auto"/>
          <w:sz w:val="24"/>
          <w:szCs w:val="24"/>
          <w:shd w:val="clear" w:color="auto" w:fill="FFFFFF"/>
          <w:lang w:val="en-US" w:eastAsia="zh-CN"/>
        </w:rPr>
        <w:t>、</w:t>
      </w:r>
      <w:r>
        <w:rPr>
          <w:rFonts w:hint="default" w:ascii="Times New Roman" w:hAnsi="Times New Roman" w:eastAsia="宋体" w:cs="Times New Roman"/>
          <w:color w:val="auto"/>
          <w:sz w:val="24"/>
          <w:szCs w:val="24"/>
          <w:shd w:val="clear" w:color="auto" w:fill="FFFFFF"/>
          <w:lang w:val="en-US" w:eastAsia="zh-CN"/>
        </w:rPr>
        <w:t>成都魔筑科技有限公司会同有关单位共同编制完成。</w:t>
      </w:r>
    </w:p>
    <w:p w14:paraId="6A108613">
      <w:pPr>
        <w:tabs>
          <w:tab w:val="left" w:pos="3570"/>
        </w:tabs>
        <w:spacing w:line="360" w:lineRule="auto"/>
        <w:ind w:firstLine="480" w:firstLineChars="200"/>
        <w:rPr>
          <w:rFonts w:hint="default" w:ascii="Times New Roman" w:hAnsi="Times New Roman" w:eastAsia="宋体" w:cs="Times New Roman"/>
          <w:color w:val="auto"/>
          <w:sz w:val="24"/>
          <w:szCs w:val="24"/>
          <w:shd w:val="clear" w:color="auto" w:fill="FFFFFF"/>
          <w:lang w:val="en-US" w:eastAsia="zh-CN"/>
        </w:rPr>
      </w:pPr>
      <w:r>
        <w:rPr>
          <w:rFonts w:hint="default" w:ascii="Times New Roman" w:hAnsi="Times New Roman" w:eastAsia="宋体" w:cs="Times New Roman"/>
          <w:color w:val="auto"/>
          <w:sz w:val="24"/>
          <w:szCs w:val="24"/>
          <w:shd w:val="clear" w:color="auto" w:fill="FFFFFF"/>
          <w:lang w:val="en-US" w:eastAsia="zh-CN"/>
        </w:rPr>
        <w:t>标准编制组经深入调查研究，认真总结实践经验，参考有关国际和国内先进标准，并在广泛征求意见的基础上，制定本规程。</w:t>
      </w:r>
    </w:p>
    <w:p w14:paraId="44C10738">
      <w:pPr>
        <w:tabs>
          <w:tab w:val="left" w:pos="3570"/>
        </w:tabs>
        <w:spacing w:line="360" w:lineRule="auto"/>
        <w:ind w:firstLine="480" w:firstLineChars="200"/>
        <w:rPr>
          <w:rFonts w:hint="default" w:ascii="Times New Roman" w:hAnsi="Times New Roman" w:eastAsia="宋体" w:cs="Times New Roman"/>
          <w:color w:val="auto"/>
          <w:sz w:val="24"/>
          <w:szCs w:val="24"/>
          <w:shd w:val="clear" w:color="auto" w:fill="FFFFFF"/>
          <w:lang w:val="en-US" w:eastAsia="zh-CN"/>
        </w:rPr>
      </w:pPr>
      <w:r>
        <w:rPr>
          <w:rFonts w:hint="default" w:ascii="Times New Roman" w:hAnsi="Times New Roman" w:eastAsia="宋体" w:cs="Times New Roman"/>
          <w:color w:val="auto"/>
          <w:sz w:val="24"/>
          <w:szCs w:val="24"/>
          <w:shd w:val="clear" w:color="auto" w:fill="FFFFFF"/>
          <w:lang w:val="en-US" w:eastAsia="zh-CN"/>
        </w:rPr>
        <w:t>本规程共8章，主要</w:t>
      </w:r>
      <w:r>
        <w:rPr>
          <w:rFonts w:hint="eastAsia" w:ascii="Times New Roman" w:hAnsi="Times New Roman" w:eastAsia="宋体" w:cs="Times New Roman"/>
          <w:color w:val="auto"/>
          <w:sz w:val="24"/>
          <w:szCs w:val="24"/>
          <w:shd w:val="clear" w:color="auto" w:fill="FFFFFF"/>
          <w:lang w:val="en-US" w:eastAsia="zh-CN"/>
        </w:rPr>
        <w:t>技术</w:t>
      </w:r>
      <w:r>
        <w:rPr>
          <w:rFonts w:hint="default" w:ascii="Times New Roman" w:hAnsi="Times New Roman" w:eastAsia="宋体" w:cs="Times New Roman"/>
          <w:color w:val="auto"/>
          <w:sz w:val="24"/>
          <w:szCs w:val="24"/>
          <w:shd w:val="clear" w:color="auto" w:fill="FFFFFF"/>
          <w:lang w:val="en-US" w:eastAsia="zh-CN"/>
        </w:rPr>
        <w:t>内容包括总则、术语、</w:t>
      </w:r>
      <w:r>
        <w:rPr>
          <w:rFonts w:hint="eastAsia" w:ascii="Times New Roman" w:hAnsi="Times New Roman" w:eastAsia="宋体" w:cs="Times New Roman"/>
          <w:color w:val="auto"/>
          <w:sz w:val="24"/>
          <w:szCs w:val="24"/>
          <w:shd w:val="clear" w:color="auto" w:fill="FFFFFF"/>
          <w:lang w:val="en-US" w:eastAsia="zh-CN"/>
        </w:rPr>
        <w:t>材料</w:t>
      </w:r>
      <w:r>
        <w:rPr>
          <w:rFonts w:hint="default" w:ascii="Times New Roman" w:hAnsi="Times New Roman" w:eastAsia="宋体" w:cs="Times New Roman"/>
          <w:color w:val="auto"/>
          <w:sz w:val="24"/>
          <w:szCs w:val="24"/>
          <w:shd w:val="clear" w:color="auto" w:fill="FFFFFF"/>
          <w:lang w:val="en-US" w:eastAsia="zh-CN"/>
        </w:rPr>
        <w:t>、</w:t>
      </w:r>
      <w:r>
        <w:rPr>
          <w:rFonts w:hint="eastAsia" w:ascii="Times New Roman" w:hAnsi="Times New Roman" w:eastAsia="宋体" w:cs="Times New Roman"/>
          <w:color w:val="auto"/>
          <w:sz w:val="24"/>
          <w:szCs w:val="24"/>
          <w:shd w:val="clear" w:color="auto" w:fill="FFFFFF"/>
          <w:lang w:val="en-US" w:eastAsia="zh-CN"/>
        </w:rPr>
        <w:t>建筑设计</w:t>
      </w:r>
      <w:r>
        <w:rPr>
          <w:rFonts w:hint="default" w:ascii="Times New Roman" w:hAnsi="Times New Roman" w:eastAsia="宋体" w:cs="Times New Roman"/>
          <w:color w:val="auto"/>
          <w:sz w:val="24"/>
          <w:szCs w:val="24"/>
          <w:shd w:val="clear" w:color="auto" w:fill="FFFFFF"/>
          <w:lang w:val="en-US" w:eastAsia="zh-CN"/>
        </w:rPr>
        <w:t>、</w:t>
      </w:r>
      <w:r>
        <w:rPr>
          <w:rFonts w:hint="eastAsia" w:ascii="Times New Roman" w:hAnsi="Times New Roman" w:eastAsia="宋体" w:cs="Times New Roman"/>
          <w:color w:val="auto"/>
          <w:sz w:val="24"/>
          <w:szCs w:val="24"/>
          <w:shd w:val="clear" w:color="auto" w:fill="FFFFFF"/>
          <w:lang w:val="en-US" w:eastAsia="zh-CN"/>
        </w:rPr>
        <w:t>结构设计</w:t>
      </w:r>
      <w:r>
        <w:rPr>
          <w:rFonts w:hint="default" w:ascii="Times New Roman" w:hAnsi="Times New Roman" w:eastAsia="宋体" w:cs="Times New Roman"/>
          <w:color w:val="auto"/>
          <w:sz w:val="24"/>
          <w:szCs w:val="24"/>
          <w:shd w:val="clear" w:color="auto" w:fill="FFFFFF"/>
          <w:lang w:val="en-US" w:eastAsia="zh-CN"/>
        </w:rPr>
        <w:t>、</w:t>
      </w:r>
      <w:r>
        <w:rPr>
          <w:rFonts w:hint="eastAsia" w:ascii="Times New Roman" w:hAnsi="Times New Roman" w:eastAsia="宋体" w:cs="Times New Roman"/>
          <w:color w:val="auto"/>
          <w:sz w:val="24"/>
          <w:szCs w:val="24"/>
          <w:shd w:val="clear" w:color="auto" w:fill="FFFFFF"/>
          <w:lang w:val="en-US" w:eastAsia="zh-CN"/>
        </w:rPr>
        <w:t>机电设计</w:t>
      </w:r>
      <w:r>
        <w:rPr>
          <w:rFonts w:hint="default" w:ascii="Times New Roman" w:hAnsi="Times New Roman" w:eastAsia="宋体" w:cs="Times New Roman"/>
          <w:color w:val="auto"/>
          <w:sz w:val="24"/>
          <w:szCs w:val="24"/>
          <w:shd w:val="clear" w:color="auto" w:fill="FFFFFF"/>
          <w:lang w:val="en-US" w:eastAsia="zh-CN"/>
        </w:rPr>
        <w:t>、</w:t>
      </w:r>
      <w:r>
        <w:rPr>
          <w:rFonts w:hint="eastAsia" w:ascii="Times New Roman" w:hAnsi="Times New Roman" w:eastAsia="宋体" w:cs="Times New Roman"/>
          <w:color w:val="auto"/>
          <w:sz w:val="24"/>
          <w:szCs w:val="24"/>
          <w:shd w:val="clear" w:color="auto" w:fill="FFFFFF"/>
          <w:lang w:val="en-US" w:eastAsia="zh-CN"/>
        </w:rPr>
        <w:t>施工、验收</w:t>
      </w:r>
      <w:r>
        <w:rPr>
          <w:rFonts w:hint="default" w:ascii="Times New Roman" w:hAnsi="Times New Roman" w:eastAsia="宋体" w:cs="Times New Roman"/>
          <w:color w:val="auto"/>
          <w:sz w:val="24"/>
          <w:szCs w:val="24"/>
          <w:shd w:val="clear" w:color="auto" w:fill="FFFFFF"/>
          <w:lang w:val="en-US" w:eastAsia="zh-CN"/>
        </w:rPr>
        <w:t>及条文说明。</w:t>
      </w:r>
    </w:p>
    <w:p w14:paraId="7568C67E">
      <w:pPr>
        <w:tabs>
          <w:tab w:val="left" w:pos="3570"/>
        </w:tabs>
        <w:spacing w:line="360" w:lineRule="auto"/>
        <w:ind w:firstLine="480" w:firstLineChars="200"/>
        <w:rPr>
          <w:rFonts w:hint="default" w:ascii="Times New Roman" w:hAnsi="Times New Roman" w:eastAsia="宋体" w:cs="Times New Roman"/>
          <w:color w:val="auto"/>
          <w:sz w:val="24"/>
          <w:szCs w:val="24"/>
          <w:shd w:val="clear" w:color="auto" w:fill="FFFFFF"/>
          <w:lang w:val="en-US" w:eastAsia="zh-CN"/>
        </w:rPr>
      </w:pPr>
      <w:r>
        <w:rPr>
          <w:rFonts w:hint="default" w:ascii="Times New Roman" w:hAnsi="Times New Roman" w:eastAsia="宋体" w:cs="Times New Roman"/>
          <w:color w:val="auto"/>
          <w:sz w:val="24"/>
          <w:szCs w:val="24"/>
          <w:shd w:val="clear" w:color="auto" w:fill="FFFFFF"/>
          <w:lang w:val="en-US" w:eastAsia="zh-CN"/>
        </w:rPr>
        <w:t>本规程由四川省</w:t>
      </w:r>
      <w:r>
        <w:rPr>
          <w:rFonts w:hint="eastAsia" w:eastAsia="宋体" w:cs="Times New Roman"/>
          <w:color w:val="auto"/>
          <w:sz w:val="24"/>
          <w:szCs w:val="24"/>
          <w:shd w:val="clear" w:color="auto" w:fill="FFFFFF"/>
          <w:lang w:val="en-US" w:eastAsia="zh-CN"/>
        </w:rPr>
        <w:t>智能建造与建筑工业化</w:t>
      </w:r>
      <w:r>
        <w:rPr>
          <w:rFonts w:hint="default" w:ascii="Times New Roman" w:hAnsi="Times New Roman" w:eastAsia="宋体" w:cs="Times New Roman"/>
          <w:color w:val="auto"/>
          <w:sz w:val="24"/>
          <w:szCs w:val="24"/>
          <w:shd w:val="clear" w:color="auto" w:fill="FFFFFF"/>
          <w:lang w:val="en-US" w:eastAsia="zh-CN"/>
        </w:rPr>
        <w:t>协会负责管理，由成都魔筑科技有限公司负责具体技术内容的解释和说明。本规程在执行过程中，如有意见或建议，请将有关资料和建议寄送解释单位（地址</w:t>
      </w:r>
      <w:r>
        <w:rPr>
          <w:rFonts w:hint="eastAsia" w:ascii="Times New Roman" w:hAnsi="Times New Roman" w:eastAsia="宋体" w:cs="Times New Roman"/>
          <w:color w:val="auto"/>
          <w:sz w:val="24"/>
          <w:szCs w:val="24"/>
          <w:shd w:val="clear" w:color="auto" w:fill="FFFFFF"/>
          <w:lang w:val="en-US" w:eastAsia="zh-CN"/>
        </w:rPr>
        <w:t>：</w:t>
      </w:r>
      <w:r>
        <w:rPr>
          <w:rFonts w:hint="default" w:ascii="Times New Roman" w:hAnsi="Times New Roman" w:eastAsia="宋体" w:cs="Times New Roman"/>
          <w:color w:val="auto"/>
          <w:sz w:val="24"/>
          <w:szCs w:val="24"/>
          <w:shd w:val="clear" w:color="auto" w:fill="FFFFFF"/>
          <w:lang w:val="en-US" w:eastAsia="zh-CN"/>
        </w:rPr>
        <w:t>邮编</w:t>
      </w:r>
      <w:r>
        <w:rPr>
          <w:rFonts w:hint="eastAsia" w:ascii="Times New Roman" w:hAnsi="Times New Roman" w:eastAsia="宋体" w:cs="Times New Roman"/>
          <w:color w:val="auto"/>
          <w:sz w:val="24"/>
          <w:szCs w:val="24"/>
          <w:shd w:val="clear" w:color="auto" w:fill="FFFFFF"/>
          <w:lang w:val="en-US" w:eastAsia="zh-CN"/>
        </w:rPr>
        <w:t>：</w:t>
      </w:r>
      <w:r>
        <w:rPr>
          <w:rFonts w:hint="default" w:ascii="Times New Roman" w:hAnsi="Times New Roman" w:eastAsia="宋体" w:cs="Times New Roman"/>
          <w:color w:val="auto"/>
          <w:sz w:val="24"/>
          <w:szCs w:val="24"/>
          <w:shd w:val="clear" w:color="auto" w:fill="FFFFFF"/>
          <w:lang w:val="en-US" w:eastAsia="zh-CN"/>
        </w:rPr>
        <w:t>电话</w:t>
      </w:r>
      <w:r>
        <w:rPr>
          <w:rFonts w:hint="eastAsia" w:ascii="Times New Roman" w:hAnsi="Times New Roman" w:eastAsia="宋体" w:cs="Times New Roman"/>
          <w:color w:val="auto"/>
          <w:sz w:val="24"/>
          <w:szCs w:val="24"/>
          <w:shd w:val="clear" w:color="auto" w:fill="FFFFFF"/>
          <w:lang w:val="en-US" w:eastAsia="zh-CN"/>
        </w:rPr>
        <w:t>：</w:t>
      </w:r>
      <w:r>
        <w:rPr>
          <w:rFonts w:hint="default" w:ascii="Times New Roman" w:hAnsi="Times New Roman" w:eastAsia="宋体" w:cs="Times New Roman"/>
          <w:color w:val="auto"/>
          <w:sz w:val="24"/>
          <w:szCs w:val="24"/>
          <w:shd w:val="clear" w:color="auto" w:fill="FFFFFF"/>
          <w:lang w:val="en-US" w:eastAsia="zh-CN"/>
        </w:rPr>
        <w:t>邮箱</w:t>
      </w:r>
      <w:r>
        <w:rPr>
          <w:rFonts w:hint="eastAsia" w:ascii="Times New Roman" w:hAnsi="Times New Roman" w:eastAsia="宋体" w:cs="Times New Roman"/>
          <w:color w:val="auto"/>
          <w:sz w:val="24"/>
          <w:szCs w:val="24"/>
          <w:shd w:val="clear" w:color="auto" w:fill="FFFFFF"/>
          <w:lang w:val="en-US" w:eastAsia="zh-CN"/>
        </w:rPr>
        <w:t>）</w:t>
      </w:r>
      <w:r>
        <w:rPr>
          <w:rFonts w:hint="default" w:ascii="Times New Roman" w:hAnsi="Times New Roman" w:eastAsia="宋体" w:cs="Times New Roman"/>
          <w:color w:val="auto"/>
          <w:sz w:val="24"/>
          <w:szCs w:val="24"/>
          <w:shd w:val="clear" w:color="auto" w:fill="FFFFFF"/>
          <w:lang w:val="en-US" w:eastAsia="zh-CN"/>
        </w:rPr>
        <w:t>。</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91"/>
        <w:gridCol w:w="6315"/>
      </w:tblGrid>
      <w:tr w14:paraId="66608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0" w:type="dxa"/>
            <w:noWrap w:val="0"/>
            <w:vAlign w:val="top"/>
          </w:tcPr>
          <w:p w14:paraId="24700A28">
            <w:pPr>
              <w:tabs>
                <w:tab w:val="left" w:pos="3570"/>
              </w:tabs>
              <w:spacing w:line="360" w:lineRule="auto"/>
              <w:jc w:val="distribute"/>
              <w:rPr>
                <w:rFonts w:hint="default" w:ascii="Times New Roman" w:hAnsi="Times New Roman" w:eastAsia="宋体" w:cs="Times New Roman"/>
                <w:color w:val="auto"/>
                <w:sz w:val="24"/>
                <w:szCs w:val="24"/>
                <w:shd w:val="clear" w:color="auto" w:fill="FFFFFF"/>
                <w:vertAlign w:val="baseline"/>
                <w:lang w:val="en-US" w:eastAsia="zh-CN"/>
              </w:rPr>
            </w:pPr>
            <w:r>
              <w:rPr>
                <w:rFonts w:hint="default" w:ascii="Times New Roman" w:hAnsi="Times New Roman" w:eastAsia="宋体" w:cs="Times New Roman"/>
                <w:b/>
                <w:bCs/>
                <w:color w:val="auto"/>
                <w:sz w:val="24"/>
                <w:szCs w:val="24"/>
                <w:shd w:val="clear" w:color="auto" w:fill="FFFFFF"/>
              </w:rPr>
              <w:t>主编单位：</w:t>
            </w:r>
          </w:p>
        </w:tc>
        <w:tc>
          <w:tcPr>
            <w:tcW w:w="6492" w:type="dxa"/>
            <w:noWrap w:val="0"/>
            <w:vAlign w:val="top"/>
          </w:tcPr>
          <w:p w14:paraId="15A54A63">
            <w:pPr>
              <w:keepNext w:val="0"/>
              <w:keepLines w:val="0"/>
              <w:pageBreakBefore w:val="0"/>
              <w:widowControl w:val="0"/>
              <w:pBdr>
                <w:top w:val="none" w:color="auto" w:sz="0" w:space="0"/>
                <w:left w:val="none" w:color="auto" w:sz="0" w:space="0"/>
                <w:bottom w:val="none" w:color="auto" w:sz="0" w:space="0"/>
                <w:right w:val="none" w:color="auto" w:sz="0" w:space="0"/>
              </w:pBdr>
              <w:tabs>
                <w:tab w:val="left" w:pos="2100"/>
                <w:tab w:val="left" w:pos="3570"/>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sz w:val="24"/>
                <w:szCs w:val="24"/>
                <w:shd w:val="clear" w:color="auto" w:fill="FFFFFF"/>
                <w:lang w:val="en-US" w:eastAsia="zh-CN"/>
              </w:rPr>
            </w:pPr>
            <w:r>
              <w:rPr>
                <w:rFonts w:hint="default" w:ascii="Times New Roman" w:hAnsi="Times New Roman" w:eastAsia="宋体" w:cs="Times New Roman"/>
                <w:color w:val="auto"/>
                <w:sz w:val="24"/>
                <w:szCs w:val="24"/>
                <w:shd w:val="clear" w:color="auto" w:fill="FFFFFF"/>
                <w:lang w:val="en-US" w:eastAsia="zh-CN"/>
              </w:rPr>
              <w:t>中国建筑西南设计研究院有限公司</w:t>
            </w:r>
          </w:p>
          <w:p w14:paraId="362616B8">
            <w:pPr>
              <w:keepNext w:val="0"/>
              <w:keepLines w:val="0"/>
              <w:pageBreakBefore w:val="0"/>
              <w:widowControl w:val="0"/>
              <w:pBdr>
                <w:top w:val="none" w:color="auto" w:sz="0" w:space="0"/>
                <w:left w:val="none" w:color="auto" w:sz="0" w:space="0"/>
                <w:bottom w:val="none" w:color="auto" w:sz="0" w:space="0"/>
                <w:right w:val="none" w:color="auto" w:sz="0" w:space="0"/>
              </w:pBdr>
              <w:tabs>
                <w:tab w:val="left" w:pos="2100"/>
                <w:tab w:val="left" w:pos="3570"/>
              </w:tabs>
              <w:kinsoku/>
              <w:wordWrap/>
              <w:overflowPunct/>
              <w:topLinePunct w:val="0"/>
              <w:autoSpaceDE/>
              <w:autoSpaceDN/>
              <w:bidi w:val="0"/>
              <w:adjustRightInd/>
              <w:snapToGrid/>
              <w:spacing w:line="360" w:lineRule="auto"/>
              <w:jc w:val="both"/>
              <w:textAlignment w:val="auto"/>
              <w:rPr>
                <w:rFonts w:hint="default"/>
                <w:lang w:val="en-US" w:eastAsia="zh-CN"/>
              </w:rPr>
            </w:pPr>
            <w:r>
              <w:rPr>
                <w:rFonts w:hint="default" w:ascii="Times New Roman" w:hAnsi="Times New Roman" w:eastAsia="宋体" w:cs="Times New Roman"/>
                <w:color w:val="auto"/>
                <w:sz w:val="24"/>
                <w:szCs w:val="24"/>
                <w:shd w:val="clear" w:color="auto" w:fill="FFFFFF"/>
                <w:lang w:val="en-US" w:eastAsia="zh-CN"/>
              </w:rPr>
              <w:t>成都魔筑科技有限公司</w:t>
            </w:r>
          </w:p>
        </w:tc>
      </w:tr>
      <w:tr w14:paraId="69156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0" w:type="dxa"/>
            <w:noWrap w:val="0"/>
            <w:vAlign w:val="top"/>
          </w:tcPr>
          <w:p w14:paraId="64E81E34">
            <w:pPr>
              <w:tabs>
                <w:tab w:val="left" w:pos="3570"/>
              </w:tabs>
              <w:spacing w:line="360" w:lineRule="auto"/>
              <w:jc w:val="distribute"/>
              <w:rPr>
                <w:rFonts w:hint="default" w:ascii="Times New Roman" w:hAnsi="Times New Roman" w:eastAsia="宋体" w:cs="Times New Roman"/>
                <w:color w:val="auto"/>
                <w:sz w:val="24"/>
                <w:szCs w:val="24"/>
                <w:shd w:val="clear" w:color="auto" w:fill="FFFFFF"/>
                <w:vertAlign w:val="baseline"/>
                <w:lang w:val="en-US" w:eastAsia="zh-CN"/>
              </w:rPr>
            </w:pPr>
            <w:r>
              <w:rPr>
                <w:rFonts w:hint="default" w:ascii="Times New Roman" w:hAnsi="Times New Roman" w:eastAsia="宋体" w:cs="Times New Roman"/>
                <w:b/>
                <w:bCs/>
                <w:color w:val="auto"/>
                <w:sz w:val="24"/>
                <w:szCs w:val="24"/>
                <w:shd w:val="clear" w:color="auto" w:fill="FFFFFF"/>
                <w:lang w:val="en-US" w:eastAsia="zh-CN"/>
              </w:rPr>
              <w:t>参编单位：</w:t>
            </w:r>
          </w:p>
        </w:tc>
        <w:tc>
          <w:tcPr>
            <w:tcW w:w="6492" w:type="dxa"/>
            <w:noWrap w:val="0"/>
            <w:vAlign w:val="top"/>
          </w:tcPr>
          <w:p w14:paraId="64B6C9E4">
            <w:pPr>
              <w:keepNext w:val="0"/>
              <w:keepLines w:val="0"/>
              <w:pageBreakBefore w:val="0"/>
              <w:widowControl w:val="0"/>
              <w:pBdr>
                <w:top w:val="none" w:color="auto" w:sz="0" w:space="0"/>
                <w:left w:val="none" w:color="auto" w:sz="0" w:space="0"/>
                <w:bottom w:val="none" w:color="auto" w:sz="0" w:space="0"/>
                <w:right w:val="none" w:color="auto" w:sz="0" w:space="0"/>
              </w:pBdr>
              <w:tabs>
                <w:tab w:val="left" w:pos="2100"/>
                <w:tab w:val="left" w:pos="3570"/>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sz w:val="24"/>
                <w:szCs w:val="24"/>
                <w:shd w:val="clear" w:color="auto" w:fill="FFFFFF"/>
                <w:lang w:val="en-US" w:eastAsia="zh-CN"/>
              </w:rPr>
            </w:pPr>
            <w:r>
              <w:rPr>
                <w:rFonts w:hint="default" w:ascii="Times New Roman" w:hAnsi="Times New Roman" w:eastAsia="宋体" w:cs="Times New Roman"/>
                <w:color w:val="auto"/>
                <w:sz w:val="24"/>
                <w:szCs w:val="24"/>
                <w:shd w:val="clear" w:color="auto" w:fill="FFFFFF"/>
                <w:lang w:val="en-US" w:eastAsia="zh-CN"/>
              </w:rPr>
              <w:t>成都墙立建材科技有限公司</w:t>
            </w:r>
          </w:p>
          <w:p w14:paraId="02F09695">
            <w:pPr>
              <w:keepNext w:val="0"/>
              <w:keepLines w:val="0"/>
              <w:pageBreakBefore w:val="0"/>
              <w:widowControl w:val="0"/>
              <w:pBdr>
                <w:top w:val="none" w:color="auto" w:sz="0" w:space="0"/>
                <w:left w:val="none" w:color="auto" w:sz="0" w:space="0"/>
                <w:bottom w:val="none" w:color="auto" w:sz="0" w:space="0"/>
                <w:right w:val="none" w:color="auto" w:sz="0" w:space="0"/>
              </w:pBdr>
              <w:tabs>
                <w:tab w:val="left" w:pos="2100"/>
                <w:tab w:val="left" w:pos="3570"/>
              </w:tabs>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sz w:val="24"/>
                <w:szCs w:val="24"/>
                <w:shd w:val="clear" w:color="auto" w:fill="FFFFFF"/>
                <w:lang w:val="en-US" w:eastAsia="zh-CN"/>
              </w:rPr>
            </w:pPr>
            <w:r>
              <w:rPr>
                <w:rFonts w:hint="default" w:ascii="Times New Roman" w:hAnsi="Times New Roman" w:eastAsia="宋体" w:cs="Times New Roman"/>
                <w:color w:val="auto"/>
                <w:sz w:val="24"/>
                <w:szCs w:val="24"/>
                <w:shd w:val="clear" w:color="auto" w:fill="FFFFFF"/>
                <w:lang w:val="en-US" w:eastAsia="zh-CN"/>
              </w:rPr>
              <w:t>四川轻立方节能科技有限公司</w:t>
            </w:r>
          </w:p>
        </w:tc>
      </w:tr>
      <w:tr w14:paraId="41215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0" w:type="dxa"/>
            <w:noWrap w:val="0"/>
            <w:vAlign w:val="top"/>
          </w:tcPr>
          <w:p w14:paraId="13D2E5E2">
            <w:pPr>
              <w:tabs>
                <w:tab w:val="left" w:pos="3570"/>
              </w:tabs>
              <w:spacing w:line="360" w:lineRule="auto"/>
              <w:jc w:val="distribute"/>
              <w:rPr>
                <w:rFonts w:hint="default" w:ascii="Times New Roman" w:hAnsi="Times New Roman" w:eastAsia="宋体" w:cs="Times New Roman"/>
                <w:color w:val="auto"/>
                <w:sz w:val="24"/>
                <w:szCs w:val="24"/>
                <w:shd w:val="clear" w:color="auto" w:fill="FFFFFF"/>
                <w:vertAlign w:val="baseline"/>
                <w:lang w:val="en-US" w:eastAsia="zh-CN"/>
              </w:rPr>
            </w:pPr>
            <w:r>
              <w:rPr>
                <w:rFonts w:hint="default" w:ascii="Times New Roman" w:hAnsi="Times New Roman" w:eastAsia="宋体" w:cs="Times New Roman"/>
                <w:b/>
                <w:bCs/>
                <w:color w:val="auto"/>
                <w:sz w:val="24"/>
                <w:szCs w:val="22"/>
                <w:shd w:val="clear" w:color="auto" w:fill="FFFFFF"/>
                <w:lang w:val="en-US" w:eastAsia="zh-CN"/>
              </w:rPr>
              <w:t>主要起草人：</w:t>
            </w:r>
          </w:p>
        </w:tc>
        <w:tc>
          <w:tcPr>
            <w:tcW w:w="6492" w:type="dxa"/>
            <w:noWrap w:val="0"/>
            <w:vAlign w:val="top"/>
          </w:tcPr>
          <w:p w14:paraId="2D95A110">
            <w:pPr>
              <w:keepNext w:val="0"/>
              <w:keepLines w:val="0"/>
              <w:pageBreakBefore w:val="0"/>
              <w:widowControl w:val="0"/>
              <w:pBdr>
                <w:top w:val="none" w:color="auto" w:sz="0" w:space="0"/>
                <w:left w:val="none" w:color="auto" w:sz="0" w:space="0"/>
                <w:bottom w:val="none" w:color="auto" w:sz="0" w:space="0"/>
                <w:right w:val="none" w:color="auto" w:sz="0" w:space="0"/>
              </w:pBdr>
              <w:tabs>
                <w:tab w:val="left" w:pos="2100"/>
              </w:tabs>
              <w:kinsoku/>
              <w:wordWrap/>
              <w:overflowPunct/>
              <w:topLinePunct w:val="0"/>
              <w:autoSpaceDE/>
              <w:autoSpaceDN/>
              <w:bidi w:val="0"/>
              <w:adjustRightInd/>
              <w:snapToGrid/>
              <w:spacing w:line="360" w:lineRule="auto"/>
              <w:jc w:val="both"/>
              <w:textAlignment w:val="auto"/>
              <w:rPr>
                <w:rFonts w:hint="default" w:eastAsia="宋体" w:cs="Times New Roman"/>
                <w:color w:val="auto"/>
                <w:sz w:val="24"/>
                <w:szCs w:val="24"/>
                <w:shd w:val="clear" w:color="auto" w:fill="FFFFFF"/>
                <w:vertAlign w:val="baseline"/>
                <w:lang w:val="en-US" w:eastAsia="zh-CN"/>
              </w:rPr>
            </w:pPr>
            <w:r>
              <w:rPr>
                <w:rFonts w:hint="default" w:eastAsia="宋体" w:cs="Times New Roman"/>
                <w:color w:val="auto"/>
                <w:sz w:val="24"/>
                <w:szCs w:val="24"/>
                <w:shd w:val="clear" w:color="auto" w:fill="FFFFFF"/>
                <w:vertAlign w:val="baseline"/>
                <w:lang w:val="en-US" w:eastAsia="zh-CN"/>
              </w:rPr>
              <w:t>刘宜丰</w:t>
            </w:r>
            <w:r>
              <w:rPr>
                <w:rFonts w:hint="eastAsia" w:eastAsia="宋体" w:cs="Times New Roman"/>
                <w:color w:val="auto"/>
                <w:sz w:val="24"/>
                <w:szCs w:val="24"/>
                <w:shd w:val="clear" w:color="auto" w:fill="FFFFFF"/>
                <w:vertAlign w:val="baseline"/>
                <w:lang w:val="en-US" w:eastAsia="zh-CN"/>
              </w:rPr>
              <w:t xml:space="preserve">  </w:t>
            </w:r>
            <w:r>
              <w:rPr>
                <w:rFonts w:hint="default" w:eastAsia="宋体" w:cs="Times New Roman"/>
                <w:color w:val="auto"/>
                <w:sz w:val="24"/>
                <w:szCs w:val="24"/>
                <w:shd w:val="clear" w:color="auto" w:fill="FFFFFF"/>
                <w:vertAlign w:val="baseline"/>
                <w:lang w:val="en-US" w:eastAsia="zh-CN"/>
              </w:rPr>
              <w:t>陈长安</w:t>
            </w:r>
            <w:r>
              <w:rPr>
                <w:rFonts w:hint="eastAsia" w:eastAsia="宋体" w:cs="Times New Roman"/>
                <w:color w:val="auto"/>
                <w:sz w:val="24"/>
                <w:szCs w:val="24"/>
                <w:shd w:val="clear" w:color="auto" w:fill="FFFFFF"/>
                <w:vertAlign w:val="baseline"/>
                <w:lang w:val="en-US" w:eastAsia="zh-CN"/>
              </w:rPr>
              <w:t xml:space="preserve">  </w:t>
            </w:r>
            <w:r>
              <w:rPr>
                <w:rFonts w:hint="default" w:eastAsia="宋体" w:cs="Times New Roman"/>
                <w:color w:val="auto"/>
                <w:sz w:val="24"/>
                <w:szCs w:val="24"/>
                <w:shd w:val="clear" w:color="auto" w:fill="FFFFFF"/>
                <w:vertAlign w:val="baseline"/>
                <w:lang w:val="en-US" w:eastAsia="zh-CN"/>
              </w:rPr>
              <w:t>李秋稷</w:t>
            </w:r>
            <w:r>
              <w:rPr>
                <w:rFonts w:hint="eastAsia" w:eastAsia="宋体" w:cs="Times New Roman"/>
                <w:color w:val="auto"/>
                <w:sz w:val="24"/>
                <w:szCs w:val="24"/>
                <w:shd w:val="clear" w:color="auto" w:fill="FFFFFF"/>
                <w:vertAlign w:val="baseline"/>
                <w:lang w:val="en-US" w:eastAsia="zh-CN"/>
              </w:rPr>
              <w:t xml:space="preserve">  </w:t>
            </w:r>
            <w:r>
              <w:rPr>
                <w:rFonts w:hint="default" w:eastAsia="宋体" w:cs="Times New Roman"/>
                <w:color w:val="auto"/>
                <w:sz w:val="24"/>
                <w:szCs w:val="24"/>
                <w:shd w:val="clear" w:color="auto" w:fill="FFFFFF"/>
                <w:vertAlign w:val="baseline"/>
                <w:lang w:val="en-US" w:eastAsia="zh-CN"/>
              </w:rPr>
              <w:t>陈灏源</w:t>
            </w:r>
            <w:r>
              <w:rPr>
                <w:rFonts w:hint="eastAsia" w:eastAsia="宋体" w:cs="Times New Roman"/>
                <w:color w:val="auto"/>
                <w:sz w:val="24"/>
                <w:szCs w:val="24"/>
                <w:shd w:val="clear" w:color="auto" w:fill="FFFFFF"/>
                <w:vertAlign w:val="baseline"/>
                <w:lang w:val="en-US" w:eastAsia="zh-CN"/>
              </w:rPr>
              <w:t xml:space="preserve">  </w:t>
            </w:r>
            <w:r>
              <w:rPr>
                <w:rFonts w:hint="default" w:eastAsia="宋体" w:cs="Times New Roman"/>
                <w:color w:val="auto"/>
                <w:sz w:val="24"/>
                <w:szCs w:val="24"/>
                <w:shd w:val="clear" w:color="auto" w:fill="FFFFFF"/>
                <w:vertAlign w:val="baseline"/>
                <w:lang w:val="en-US" w:eastAsia="zh-CN"/>
              </w:rPr>
              <w:t>陈  军</w:t>
            </w:r>
            <w:r>
              <w:rPr>
                <w:rFonts w:hint="eastAsia" w:eastAsia="宋体" w:cs="Times New Roman"/>
                <w:color w:val="auto"/>
                <w:sz w:val="24"/>
                <w:szCs w:val="24"/>
                <w:shd w:val="clear" w:color="auto" w:fill="FFFFFF"/>
                <w:vertAlign w:val="baseline"/>
                <w:lang w:val="en-US" w:eastAsia="zh-CN"/>
              </w:rPr>
              <w:t xml:space="preserve">  </w:t>
            </w:r>
            <w:r>
              <w:rPr>
                <w:rFonts w:hint="default" w:eastAsia="宋体" w:cs="Times New Roman"/>
                <w:color w:val="auto"/>
                <w:sz w:val="24"/>
                <w:szCs w:val="24"/>
                <w:shd w:val="clear" w:color="auto" w:fill="FFFFFF"/>
                <w:vertAlign w:val="baseline"/>
                <w:lang w:val="en-US" w:eastAsia="zh-CN"/>
              </w:rPr>
              <w:t>滕  月</w:t>
            </w:r>
          </w:p>
          <w:p w14:paraId="7178BA9A">
            <w:pPr>
              <w:keepNext w:val="0"/>
              <w:keepLines w:val="0"/>
              <w:pageBreakBefore w:val="0"/>
              <w:widowControl w:val="0"/>
              <w:pBdr>
                <w:top w:val="none" w:color="auto" w:sz="0" w:space="0"/>
                <w:left w:val="none" w:color="auto" w:sz="0" w:space="0"/>
                <w:bottom w:val="none" w:color="auto" w:sz="0" w:space="0"/>
                <w:right w:val="none" w:color="auto" w:sz="0" w:space="0"/>
              </w:pBdr>
              <w:tabs>
                <w:tab w:val="left" w:pos="2100"/>
              </w:tabs>
              <w:kinsoku/>
              <w:wordWrap/>
              <w:overflowPunct/>
              <w:topLinePunct w:val="0"/>
              <w:autoSpaceDE/>
              <w:autoSpaceDN/>
              <w:bidi w:val="0"/>
              <w:adjustRightInd/>
              <w:snapToGrid/>
              <w:spacing w:line="360" w:lineRule="auto"/>
              <w:jc w:val="both"/>
              <w:textAlignment w:val="auto"/>
              <w:rPr>
                <w:rFonts w:hint="eastAsia" w:eastAsia="宋体" w:cs="Times New Roman"/>
                <w:color w:val="auto"/>
                <w:sz w:val="24"/>
                <w:szCs w:val="24"/>
                <w:shd w:val="clear" w:color="auto" w:fill="FFFFFF"/>
                <w:vertAlign w:val="baseline"/>
                <w:lang w:val="en-US" w:eastAsia="zh-CN"/>
              </w:rPr>
            </w:pPr>
            <w:r>
              <w:rPr>
                <w:rFonts w:hint="default" w:eastAsia="宋体" w:cs="Times New Roman"/>
                <w:color w:val="auto"/>
                <w:sz w:val="24"/>
                <w:szCs w:val="24"/>
                <w:shd w:val="clear" w:color="auto" w:fill="FFFFFF"/>
                <w:vertAlign w:val="baseline"/>
                <w:lang w:val="en-US" w:eastAsia="zh-CN"/>
              </w:rPr>
              <w:t>文守辉</w:t>
            </w:r>
            <w:r>
              <w:rPr>
                <w:rFonts w:hint="eastAsia" w:eastAsia="宋体" w:cs="Times New Roman"/>
                <w:color w:val="auto"/>
                <w:sz w:val="24"/>
                <w:szCs w:val="24"/>
                <w:shd w:val="clear" w:color="auto" w:fill="FFFFFF"/>
                <w:vertAlign w:val="baseline"/>
                <w:lang w:val="en-US" w:eastAsia="zh-CN"/>
              </w:rPr>
              <w:t xml:space="preserve">  </w:t>
            </w:r>
            <w:r>
              <w:rPr>
                <w:rFonts w:hint="default" w:eastAsia="宋体" w:cs="Times New Roman"/>
                <w:color w:val="auto"/>
                <w:sz w:val="24"/>
                <w:szCs w:val="24"/>
                <w:shd w:val="clear" w:color="auto" w:fill="FFFFFF"/>
                <w:vertAlign w:val="baseline"/>
                <w:lang w:val="en-US" w:eastAsia="zh-CN"/>
              </w:rPr>
              <w:t>陈建辉</w:t>
            </w:r>
            <w:r>
              <w:rPr>
                <w:rFonts w:hint="eastAsia" w:eastAsia="宋体" w:cs="Times New Roman"/>
                <w:color w:val="auto"/>
                <w:sz w:val="24"/>
                <w:szCs w:val="24"/>
                <w:shd w:val="clear" w:color="auto" w:fill="FFFFFF"/>
                <w:vertAlign w:val="baseline"/>
                <w:lang w:val="en-US" w:eastAsia="zh-CN"/>
              </w:rPr>
              <w:t xml:space="preserve">  </w:t>
            </w:r>
            <w:r>
              <w:rPr>
                <w:rFonts w:hint="default" w:eastAsia="宋体" w:cs="Times New Roman"/>
                <w:color w:val="auto"/>
                <w:sz w:val="24"/>
                <w:szCs w:val="24"/>
                <w:shd w:val="clear" w:color="auto" w:fill="FFFFFF"/>
                <w:vertAlign w:val="baseline"/>
                <w:lang w:val="en-US" w:eastAsia="zh-CN"/>
              </w:rPr>
              <w:t>尹  力</w:t>
            </w:r>
            <w:r>
              <w:rPr>
                <w:rFonts w:hint="eastAsia" w:eastAsia="宋体" w:cs="Times New Roman"/>
                <w:color w:val="auto"/>
                <w:sz w:val="24"/>
                <w:szCs w:val="24"/>
                <w:shd w:val="clear" w:color="auto" w:fill="FFFFFF"/>
                <w:vertAlign w:val="baseline"/>
                <w:lang w:val="en-US" w:eastAsia="zh-CN"/>
              </w:rPr>
              <w:t xml:space="preserve">  薛瑞吉  </w:t>
            </w:r>
            <w:r>
              <w:rPr>
                <w:rFonts w:hint="default" w:eastAsia="宋体" w:cs="Times New Roman"/>
                <w:color w:val="auto"/>
                <w:sz w:val="24"/>
                <w:szCs w:val="24"/>
                <w:shd w:val="clear" w:color="auto" w:fill="FFFFFF"/>
                <w:vertAlign w:val="baseline"/>
                <w:lang w:val="en-US" w:eastAsia="zh-CN"/>
              </w:rPr>
              <w:t>陈  皞</w:t>
            </w:r>
            <w:r>
              <w:rPr>
                <w:rFonts w:hint="eastAsia" w:eastAsia="宋体" w:cs="Times New Roman"/>
                <w:color w:val="auto"/>
                <w:sz w:val="24"/>
                <w:szCs w:val="24"/>
                <w:shd w:val="clear" w:color="auto" w:fill="FFFFFF"/>
                <w:vertAlign w:val="baseline"/>
                <w:lang w:val="en-US" w:eastAsia="zh-CN"/>
              </w:rPr>
              <w:t xml:space="preserve">  蔡宏昊</w:t>
            </w:r>
          </w:p>
          <w:p w14:paraId="2BEAF4F2">
            <w:pPr>
              <w:keepNext w:val="0"/>
              <w:keepLines w:val="0"/>
              <w:pageBreakBefore w:val="0"/>
              <w:widowControl w:val="0"/>
              <w:pBdr>
                <w:top w:val="none" w:color="auto" w:sz="0" w:space="0"/>
                <w:left w:val="none" w:color="auto" w:sz="0" w:space="0"/>
                <w:bottom w:val="none" w:color="auto" w:sz="0" w:space="0"/>
                <w:right w:val="none" w:color="auto" w:sz="0" w:space="0"/>
              </w:pBdr>
              <w:tabs>
                <w:tab w:val="left" w:pos="2100"/>
              </w:tabs>
              <w:kinsoku/>
              <w:wordWrap/>
              <w:overflowPunct/>
              <w:topLinePunct w:val="0"/>
              <w:autoSpaceDE/>
              <w:autoSpaceDN/>
              <w:bidi w:val="0"/>
              <w:adjustRightInd/>
              <w:snapToGrid/>
              <w:spacing w:line="360" w:lineRule="auto"/>
              <w:jc w:val="both"/>
              <w:textAlignment w:val="auto"/>
              <w:rPr>
                <w:rFonts w:hint="default" w:eastAsia="宋体" w:cs="Times New Roman"/>
                <w:color w:val="auto"/>
                <w:sz w:val="24"/>
                <w:szCs w:val="24"/>
                <w:shd w:val="clear" w:color="auto" w:fill="FFFFFF"/>
                <w:vertAlign w:val="baseline"/>
                <w:lang w:val="en-US" w:eastAsia="zh-CN"/>
              </w:rPr>
            </w:pPr>
            <w:r>
              <w:rPr>
                <w:rFonts w:hint="eastAsia" w:eastAsia="宋体" w:cs="Times New Roman"/>
                <w:color w:val="auto"/>
                <w:sz w:val="24"/>
                <w:szCs w:val="24"/>
                <w:shd w:val="clear" w:color="auto" w:fill="FFFFFF"/>
                <w:vertAlign w:val="baseline"/>
                <w:lang w:val="en-US" w:eastAsia="zh-CN"/>
              </w:rPr>
              <w:t>田育民  郭礼宝  李林方  孙</w:t>
            </w:r>
            <w:r>
              <w:rPr>
                <w:rFonts w:hint="eastAsia" w:cs="Times New Roman"/>
                <w:color w:val="auto"/>
                <w:sz w:val="24"/>
                <w:szCs w:val="24"/>
                <w:shd w:val="clear" w:color="auto" w:fill="FFFFFF"/>
                <w:vertAlign w:val="baseline"/>
                <w:lang w:val="en-US" w:eastAsia="zh-CN"/>
              </w:rPr>
              <w:t xml:space="preserve">  </w:t>
            </w:r>
            <w:r>
              <w:rPr>
                <w:rFonts w:hint="eastAsia" w:eastAsia="宋体" w:cs="Times New Roman"/>
                <w:color w:val="auto"/>
                <w:sz w:val="24"/>
                <w:szCs w:val="24"/>
                <w:shd w:val="clear" w:color="auto" w:fill="FFFFFF"/>
                <w:vertAlign w:val="baseline"/>
                <w:lang w:val="en-US" w:eastAsia="zh-CN"/>
              </w:rPr>
              <w:t>璐</w:t>
            </w:r>
          </w:p>
        </w:tc>
      </w:tr>
      <w:tr w14:paraId="4900A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30" w:type="dxa"/>
            <w:noWrap w:val="0"/>
            <w:vAlign w:val="top"/>
          </w:tcPr>
          <w:p w14:paraId="66DC9FBD">
            <w:pPr>
              <w:keepNext w:val="0"/>
              <w:keepLines w:val="0"/>
              <w:pageBreakBefore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jc w:val="distribute"/>
              <w:textAlignment w:val="auto"/>
              <w:rPr>
                <w:rFonts w:hint="default" w:ascii="Times New Roman" w:hAnsi="Times New Roman" w:cs="Times New Roman"/>
                <w:color w:val="auto"/>
              </w:rPr>
            </w:pPr>
            <w:r>
              <w:rPr>
                <w:rFonts w:hint="default" w:ascii="Times New Roman" w:hAnsi="Times New Roman" w:eastAsia="宋体" w:cs="Times New Roman"/>
                <w:b/>
                <w:bCs/>
                <w:color w:val="auto"/>
                <w:sz w:val="24"/>
                <w:szCs w:val="22"/>
                <w:shd w:val="clear" w:color="auto" w:fill="FFFFFF"/>
                <w:lang w:val="en-US" w:eastAsia="zh-CN"/>
              </w:rPr>
              <w:t>主要审查人：</w:t>
            </w:r>
          </w:p>
          <w:p w14:paraId="1A6AC8F5">
            <w:pPr>
              <w:tabs>
                <w:tab w:val="left" w:pos="3570"/>
              </w:tabs>
              <w:spacing w:line="360" w:lineRule="auto"/>
              <w:jc w:val="right"/>
              <w:rPr>
                <w:rFonts w:hint="default" w:ascii="Times New Roman" w:hAnsi="Times New Roman" w:eastAsia="宋体" w:cs="Times New Roman"/>
                <w:color w:val="auto"/>
                <w:sz w:val="24"/>
                <w:szCs w:val="24"/>
                <w:shd w:val="clear" w:color="auto" w:fill="FFFFFF"/>
                <w:vertAlign w:val="baseline"/>
                <w:lang w:val="en-US" w:eastAsia="zh-CN"/>
              </w:rPr>
            </w:pPr>
          </w:p>
        </w:tc>
        <w:tc>
          <w:tcPr>
            <w:tcW w:w="6492" w:type="dxa"/>
            <w:noWrap w:val="0"/>
            <w:vAlign w:val="top"/>
          </w:tcPr>
          <w:p w14:paraId="1B6E3A2E">
            <w:pPr>
              <w:tabs>
                <w:tab w:val="left" w:pos="3570"/>
              </w:tabs>
              <w:spacing w:line="360" w:lineRule="auto"/>
              <w:jc w:val="both"/>
              <w:rPr>
                <w:rFonts w:hint="default" w:ascii="Times New Roman" w:hAnsi="Times New Roman" w:eastAsia="宋体" w:cs="Times New Roman"/>
                <w:color w:val="auto"/>
                <w:sz w:val="24"/>
                <w:szCs w:val="24"/>
                <w:shd w:val="clear" w:color="auto" w:fill="FFFFFF"/>
                <w:vertAlign w:val="baseline"/>
                <w:lang w:val="en-US" w:eastAsia="zh-CN"/>
              </w:rPr>
            </w:pPr>
          </w:p>
        </w:tc>
      </w:tr>
    </w:tbl>
    <w:p w14:paraId="7543AF59">
      <w:pPr>
        <w:snapToGrid w:val="0"/>
        <w:textAlignment w:val="center"/>
      </w:pPr>
      <w:r>
        <w:rPr>
          <w:rFonts w:hint="default" w:ascii="Times New Roman" w:hAnsi="Times New Roman" w:eastAsia="宋体" w:cs="Times New Roman"/>
          <w:color w:val="auto"/>
          <w:sz w:val="24"/>
          <w:szCs w:val="24"/>
          <w:shd w:val="clear" w:color="auto" w:fill="FFFFFF"/>
          <w:lang w:val="en-US" w:eastAsia="zh-CN"/>
        </w:rPr>
        <w:br w:type="page"/>
      </w:r>
    </w:p>
    <w:p w14:paraId="57AA28B4">
      <w:pPr>
        <w:sectPr>
          <w:footerReference r:id="rId6" w:type="default"/>
          <w:pgSz w:w="11906" w:h="16838"/>
          <w:pgMar w:top="1440" w:right="1800" w:bottom="1440" w:left="1800" w:header="851" w:footer="992" w:gutter="0"/>
          <w:pgNumType w:start="1"/>
          <w:cols w:space="720" w:num="1"/>
          <w:docGrid w:type="lines" w:linePitch="312" w:charSpace="0"/>
        </w:sectPr>
      </w:pPr>
    </w:p>
    <w:p w14:paraId="789059BF">
      <w:pPr>
        <w:snapToGrid w:val="0"/>
        <w:spacing w:line="276" w:lineRule="auto"/>
        <w:jc w:val="center"/>
        <w:rPr>
          <w:rStyle w:val="20"/>
          <w:rFonts w:hint="eastAsia" w:ascii="宋体" w:hAnsi="宋体" w:eastAsia="宋体" w:cs="宋体"/>
          <w:b w:val="0"/>
          <w:bCs/>
          <w:sz w:val="24"/>
          <w:szCs w:val="24"/>
        </w:rPr>
      </w:pPr>
      <w:bookmarkStart w:id="9" w:name="_Toc174732727"/>
      <w:bookmarkStart w:id="10" w:name="_Toc1258"/>
      <w:bookmarkStart w:id="11" w:name="_Toc28958"/>
      <w:bookmarkStart w:id="12" w:name="_Toc3153"/>
      <w:bookmarkStart w:id="13" w:name="_Toc21704"/>
      <w:bookmarkStart w:id="14" w:name="_Toc154152188"/>
      <w:bookmarkStart w:id="15" w:name="_Toc17990"/>
      <w:bookmarkStart w:id="16" w:name="_Toc161132117"/>
      <w:bookmarkStart w:id="17" w:name="_Toc11633"/>
      <w:bookmarkStart w:id="18" w:name="_Toc1878"/>
      <w:bookmarkStart w:id="19" w:name="_Toc1667"/>
      <w:bookmarkStart w:id="20" w:name="_Toc153407399"/>
      <w:bookmarkStart w:id="21" w:name="_Toc23290"/>
      <w:bookmarkStart w:id="22" w:name="_Toc4967"/>
      <w:bookmarkStart w:id="23" w:name="_Toc9752"/>
      <w:bookmarkStart w:id="24" w:name="_Toc31341"/>
      <w:bookmarkStart w:id="25" w:name="_Toc14133"/>
      <w:bookmarkStart w:id="26" w:name="_Toc6836"/>
      <w:bookmarkStart w:id="27" w:name="_Toc7260"/>
      <w:bookmarkStart w:id="28" w:name="_Toc13931"/>
      <w:r>
        <w:rPr>
          <w:rStyle w:val="20"/>
          <w:rFonts w:hint="eastAsia" w:ascii="宋体" w:hAnsi="宋体" w:eastAsia="宋体" w:cs="宋体"/>
          <w:b w:val="0"/>
          <w:bCs/>
          <w:sz w:val="24"/>
          <w:szCs w:val="24"/>
        </w:rPr>
        <w:t>目  录</w:t>
      </w:r>
      <w:bookmarkEnd w:id="0"/>
      <w:bookmarkEnd w:id="1"/>
      <w:bookmarkEnd w:id="2"/>
      <w:bookmarkEnd w:id="3"/>
      <w:bookmarkEnd w:id="4"/>
      <w:bookmarkEnd w:id="5"/>
      <w:bookmarkEnd w:id="6"/>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Start w:id="29" w:name="_Toc4713"/>
      <w:bookmarkStart w:id="30" w:name="_Toc5724"/>
    </w:p>
    <w:bookmarkEnd w:id="25"/>
    <w:bookmarkEnd w:id="26"/>
    <w:bookmarkEnd w:id="27"/>
    <w:bookmarkEnd w:id="28"/>
    <w:p w14:paraId="73BFF8CB">
      <w:pPr>
        <w:pStyle w:val="11"/>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TOC \o "1-2" \h \u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_Toc4064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1  总  则</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_Toc4064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1</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67CADE87">
      <w:pPr>
        <w:pStyle w:val="11"/>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_Toc16009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2  术  语</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_Toc16009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2</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0FA81869">
      <w:pPr>
        <w:pStyle w:val="11"/>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_Toc11181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3  材  料</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_Toc11181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3</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4FD5B544">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_Toc6167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3.1  混凝土、钢筋和钢材</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_Toc6167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3</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42B697FB">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_Toc6599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3.2  注仓料与保温材料</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_Toc6599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3</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7319A5BD">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_Toc22684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3.3  连接材料</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_Toc22684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3</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36ABC430">
      <w:pPr>
        <w:pStyle w:val="11"/>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_Toc18014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4  建筑设计</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_Toc18014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5</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3A559A83">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_Toc23682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4.1  一般规定</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_Toc23682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5</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619D7957">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_Toc8519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4.2  建筑性能</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_Toc8519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5</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3096A363">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_Toc3352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4.3  平面、立面与空间</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_Toc3352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5</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66838CB8">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_Toc13402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4.</w:t>
      </w:r>
      <w:r>
        <w:rPr>
          <w:rFonts w:hint="eastAsia" w:ascii="宋体" w:hAnsi="宋体" w:eastAsia="宋体" w:cs="宋体"/>
          <w:b w:val="0"/>
          <w:sz w:val="24"/>
          <w:szCs w:val="24"/>
          <w:lang w:val="en-US" w:eastAsia="zh-CN"/>
        </w:rPr>
        <w:t>4</w:t>
      </w:r>
      <w:r>
        <w:rPr>
          <w:rFonts w:hint="eastAsia" w:ascii="宋体" w:hAnsi="宋体" w:eastAsia="宋体" w:cs="宋体"/>
          <w:b w:val="0"/>
          <w:sz w:val="24"/>
          <w:szCs w:val="24"/>
        </w:rPr>
        <w:t>  墙体</w:t>
      </w:r>
      <w:r>
        <w:rPr>
          <w:rFonts w:hint="eastAsia" w:ascii="宋体" w:hAnsi="宋体" w:eastAsia="宋体" w:cs="宋体"/>
          <w:b w:val="0"/>
          <w:sz w:val="24"/>
          <w:szCs w:val="24"/>
          <w:lang w:val="en-US" w:eastAsia="zh-CN"/>
        </w:rPr>
        <w:t>与屋面</w:t>
      </w:r>
      <w:r>
        <w:rPr>
          <w:rFonts w:hint="eastAsia" w:ascii="宋体" w:hAnsi="宋体" w:eastAsia="宋体" w:cs="宋体"/>
          <w:b w:val="0"/>
          <w:sz w:val="24"/>
          <w:szCs w:val="24"/>
        </w:rPr>
        <w:t>设计</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_Toc13402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6</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17C8CC42">
      <w:pPr>
        <w:pStyle w:val="11"/>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_Toc1003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5  结构设计</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_Toc1003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7</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24F87F17">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_Toc21485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5.1  一般规定</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_Toc21485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7</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6721757D">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_Toc17332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5.2  结构体系</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_Toc17332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7</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121C2E98">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_Toc16679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5.3  基础设计</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_Toc16679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8</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212ABB82">
      <w:pPr>
        <w:pStyle w:val="11"/>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_Toc24038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6  机电设计</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_Toc24038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9</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42AA4DC0">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_Toc5652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6.1  一般规定</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_Toc5652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9</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09629B01">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_Toc6462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6.2  给排水设计</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_Toc6462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9</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6D687A89">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_Toc18385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6.3  电气及智能化设计</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_Toc18385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10</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22AF312B">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_Toc8788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6.4  暖通设计</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_Toc8788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11</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7665B20E">
      <w:pPr>
        <w:pStyle w:val="11"/>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_Toc29893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lang w:val="en-US" w:eastAsia="zh-CN"/>
        </w:rPr>
        <w:t>7</w:t>
      </w:r>
      <w:r>
        <w:rPr>
          <w:rFonts w:hint="eastAsia" w:ascii="宋体" w:hAnsi="宋体" w:eastAsia="宋体" w:cs="宋体"/>
          <w:b w:val="0"/>
          <w:sz w:val="24"/>
          <w:szCs w:val="24"/>
        </w:rPr>
        <w:t xml:space="preserve">  施  工</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_Toc29893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12</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68B2A2AC">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_Toc22907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lang w:val="en-US" w:eastAsia="zh-CN"/>
        </w:rPr>
        <w:t>7</w:t>
      </w:r>
      <w:r>
        <w:rPr>
          <w:rFonts w:hint="eastAsia" w:ascii="宋体" w:hAnsi="宋体" w:eastAsia="宋体" w:cs="宋体"/>
          <w:b w:val="0"/>
          <w:sz w:val="24"/>
          <w:szCs w:val="24"/>
        </w:rPr>
        <w:t>.1  一般规定</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_Toc22907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12</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311C9209">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_Toc20846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lang w:val="en-US" w:eastAsia="zh-CN"/>
        </w:rPr>
        <w:t>7</w:t>
      </w:r>
      <w:r>
        <w:rPr>
          <w:rFonts w:hint="eastAsia" w:ascii="宋体" w:hAnsi="宋体" w:eastAsia="宋体" w:cs="宋体"/>
          <w:b w:val="0"/>
          <w:sz w:val="24"/>
          <w:szCs w:val="24"/>
        </w:rPr>
        <w:t>.2  主体结构施工</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_Toc20846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13</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0DF4E370">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_Toc2242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lang w:val="en-US" w:eastAsia="zh-CN"/>
        </w:rPr>
        <w:t>7</w:t>
      </w:r>
      <w:r>
        <w:rPr>
          <w:rFonts w:hint="eastAsia" w:ascii="宋体" w:hAnsi="宋体" w:eastAsia="宋体" w:cs="宋体"/>
          <w:b w:val="0"/>
          <w:sz w:val="24"/>
          <w:szCs w:val="24"/>
        </w:rPr>
        <w:t>.3  地基和基础施工</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_Toc2242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13</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6AA950BA">
      <w:pPr>
        <w:pStyle w:val="12"/>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_Toc4329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lang w:val="en-US" w:eastAsia="zh-CN"/>
        </w:rPr>
        <w:t>7</w:t>
      </w:r>
      <w:r>
        <w:rPr>
          <w:rFonts w:hint="eastAsia" w:ascii="宋体" w:hAnsi="宋体" w:eastAsia="宋体" w:cs="宋体"/>
          <w:b w:val="0"/>
          <w:sz w:val="24"/>
          <w:szCs w:val="24"/>
        </w:rPr>
        <w:t>.4  墙体施工</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_Toc4329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14</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34DACCDE">
      <w:pPr>
        <w:pStyle w:val="11"/>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_Toc2813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lang w:val="en-US" w:eastAsia="zh-CN"/>
        </w:rPr>
        <w:t>8</w:t>
      </w:r>
      <w:r>
        <w:rPr>
          <w:rFonts w:hint="eastAsia" w:ascii="宋体" w:hAnsi="宋体" w:eastAsia="宋体" w:cs="宋体"/>
          <w:b w:val="0"/>
          <w:sz w:val="24"/>
          <w:szCs w:val="24"/>
        </w:rPr>
        <w:t xml:space="preserve">  验  收</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_Toc2813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15</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066084B8">
      <w:pPr>
        <w:pStyle w:val="11"/>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_Toc20057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本标准用词说明</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_Toc20057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16</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2C4D6CE4">
      <w:pPr>
        <w:pStyle w:val="11"/>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_Toc29681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引用标准名录</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_Toc29681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17</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46EAF127">
      <w:pPr>
        <w:pStyle w:val="11"/>
        <w:tabs>
          <w:tab w:val="right" w:leader="dot" w:pos="8306"/>
        </w:tabs>
        <w:rPr>
          <w:rFonts w:hint="eastAsia" w:ascii="宋体" w:hAnsi="宋体" w:eastAsia="宋体" w:cs="宋体"/>
          <w:b w:val="0"/>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HYPERLINK \l _Toc26322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条文说明</w:t>
      </w:r>
      <w:r>
        <w:rPr>
          <w:rFonts w:hint="eastAsia" w:ascii="宋体" w:hAnsi="宋体" w:eastAsia="宋体" w:cs="宋体"/>
          <w:b w:val="0"/>
          <w:sz w:val="24"/>
          <w:szCs w:val="24"/>
        </w:rPr>
        <w:tab/>
      </w: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 PAGEREF _Toc26322 \h </w:instrText>
      </w:r>
      <w:r>
        <w:rPr>
          <w:rFonts w:hint="eastAsia" w:ascii="宋体" w:hAnsi="宋体" w:eastAsia="宋体" w:cs="宋体"/>
          <w:b w:val="0"/>
          <w:sz w:val="24"/>
          <w:szCs w:val="24"/>
        </w:rPr>
        <w:fldChar w:fldCharType="separate"/>
      </w:r>
      <w:r>
        <w:rPr>
          <w:rFonts w:hint="eastAsia" w:ascii="宋体" w:hAnsi="宋体" w:eastAsia="宋体" w:cs="宋体"/>
          <w:b w:val="0"/>
          <w:sz w:val="24"/>
          <w:szCs w:val="24"/>
        </w:rPr>
        <w:t>19</w:t>
      </w:r>
      <w:r>
        <w:rPr>
          <w:rFonts w:hint="eastAsia" w:ascii="宋体" w:hAnsi="宋体" w:eastAsia="宋体" w:cs="宋体"/>
          <w:b w:val="0"/>
          <w:sz w:val="24"/>
          <w:szCs w:val="24"/>
        </w:rPr>
        <w:fldChar w:fldCharType="end"/>
      </w:r>
      <w:r>
        <w:rPr>
          <w:rFonts w:hint="eastAsia" w:ascii="宋体" w:hAnsi="宋体" w:eastAsia="宋体" w:cs="宋体"/>
          <w:b w:val="0"/>
          <w:sz w:val="24"/>
          <w:szCs w:val="24"/>
        </w:rPr>
        <w:fldChar w:fldCharType="end"/>
      </w:r>
    </w:p>
    <w:p w14:paraId="38997D66">
      <w:pPr>
        <w:snapToGrid w:val="0"/>
        <w:spacing w:line="276" w:lineRule="auto"/>
        <w:jc w:val="both"/>
        <w:rPr>
          <w:rFonts w:eastAsia="宋体"/>
          <w:b w:val="0"/>
          <w:sz w:val="24"/>
          <w:szCs w:val="24"/>
        </w:rPr>
        <w:sectPr>
          <w:footerReference r:id="rId7" w:type="default"/>
          <w:pgSz w:w="11906" w:h="16838"/>
          <w:pgMar w:top="1440" w:right="1800" w:bottom="1440" w:left="1800" w:header="851" w:footer="992" w:gutter="0"/>
          <w:pgNumType w:start="1"/>
          <w:cols w:space="720" w:num="1"/>
          <w:docGrid w:type="lines" w:linePitch="312" w:charSpace="0"/>
        </w:sectPr>
      </w:pPr>
      <w:r>
        <w:rPr>
          <w:rFonts w:hint="eastAsia" w:ascii="宋体" w:hAnsi="宋体" w:eastAsia="宋体" w:cs="宋体"/>
          <w:b w:val="0"/>
          <w:sz w:val="24"/>
          <w:szCs w:val="24"/>
        </w:rPr>
        <w:fldChar w:fldCharType="end"/>
      </w:r>
    </w:p>
    <w:p w14:paraId="59ED6C3F">
      <w:pPr>
        <w:snapToGrid w:val="0"/>
        <w:spacing w:line="276" w:lineRule="auto"/>
        <w:jc w:val="center"/>
        <w:rPr>
          <w:rFonts w:eastAsia="宋体"/>
          <w:b w:val="0"/>
          <w:sz w:val="24"/>
          <w:szCs w:val="24"/>
        </w:rPr>
      </w:pPr>
      <w:bookmarkStart w:id="31" w:name="_Toc22103"/>
      <w:bookmarkStart w:id="32" w:name="_Toc6851"/>
      <w:bookmarkStart w:id="33" w:name="_Toc24070"/>
      <w:bookmarkStart w:id="34" w:name="_Toc21883"/>
      <w:bookmarkStart w:id="35" w:name="_Toc31782"/>
      <w:bookmarkStart w:id="36" w:name="_Toc29945"/>
      <w:bookmarkStart w:id="37" w:name="_Toc2001"/>
      <w:bookmarkStart w:id="38" w:name="_Toc18964"/>
      <w:bookmarkStart w:id="39" w:name="_Toc174732728"/>
      <w:bookmarkStart w:id="40" w:name="_Toc79"/>
      <w:bookmarkStart w:id="41" w:name="_Toc4728"/>
      <w:r>
        <w:rPr>
          <w:rStyle w:val="20"/>
          <w:rFonts w:eastAsia="宋体"/>
          <w:b w:val="0"/>
          <w:sz w:val="24"/>
          <w:szCs w:val="24"/>
        </w:rPr>
        <w:t>Contents</w:t>
      </w:r>
      <w:bookmarkEnd w:id="31"/>
      <w:bookmarkEnd w:id="32"/>
      <w:bookmarkEnd w:id="33"/>
      <w:bookmarkEnd w:id="34"/>
      <w:bookmarkEnd w:id="35"/>
      <w:bookmarkEnd w:id="36"/>
      <w:bookmarkEnd w:id="37"/>
      <w:bookmarkEnd w:id="38"/>
      <w:bookmarkEnd w:id="39"/>
      <w:bookmarkEnd w:id="40"/>
      <w:bookmarkEnd w:id="41"/>
      <w:r>
        <w:rPr>
          <w:rFonts w:eastAsia="宋体"/>
          <w:b w:val="0"/>
          <w:sz w:val="24"/>
          <w:szCs w:val="24"/>
        </w:rPr>
        <w:fldChar w:fldCharType="begin"/>
      </w:r>
      <w:r>
        <w:rPr>
          <w:rFonts w:eastAsia="宋体"/>
          <w:b w:val="0"/>
          <w:sz w:val="24"/>
          <w:szCs w:val="24"/>
        </w:rPr>
        <w:instrText xml:space="preserve">TOC \o "1-2" \h \u </w:instrText>
      </w:r>
      <w:r>
        <w:rPr>
          <w:rFonts w:eastAsia="宋体"/>
          <w:b w:val="0"/>
          <w:sz w:val="24"/>
          <w:szCs w:val="24"/>
        </w:rPr>
        <w:fldChar w:fldCharType="separate"/>
      </w:r>
    </w:p>
    <w:p w14:paraId="717C7984">
      <w:pPr>
        <w:pStyle w:val="11"/>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_Toc9449 </w:instrText>
      </w:r>
      <w:r>
        <w:rPr>
          <w:rFonts w:eastAsia="宋体"/>
          <w:b w:val="0"/>
          <w:sz w:val="24"/>
          <w:szCs w:val="24"/>
        </w:rPr>
        <w:fldChar w:fldCharType="separate"/>
      </w:r>
      <w:r>
        <w:rPr>
          <w:rFonts w:eastAsia="宋体"/>
          <w:b w:val="0"/>
          <w:sz w:val="24"/>
          <w:szCs w:val="24"/>
        </w:rPr>
        <w:t>1  General Provisions</w:t>
      </w:r>
      <w:r>
        <w:rPr>
          <w:rFonts w:eastAsia="宋体"/>
          <w:b w:val="0"/>
          <w:sz w:val="24"/>
          <w:szCs w:val="24"/>
        </w:rPr>
        <w:tab/>
      </w:r>
      <w:r>
        <w:rPr>
          <w:rFonts w:hint="eastAsia"/>
          <w:b w:val="0"/>
          <w:sz w:val="24"/>
          <w:szCs w:val="24"/>
          <w:lang w:val="en-US" w:eastAsia="zh-CN"/>
        </w:rPr>
        <w:t>1</w:t>
      </w:r>
      <w:r>
        <w:rPr>
          <w:rFonts w:eastAsia="宋体"/>
          <w:b w:val="0"/>
          <w:sz w:val="24"/>
          <w:szCs w:val="24"/>
        </w:rPr>
        <w:fldChar w:fldCharType="end"/>
      </w:r>
    </w:p>
    <w:p w14:paraId="46E595BF">
      <w:pPr>
        <w:pStyle w:val="11"/>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_Toc13564 </w:instrText>
      </w:r>
      <w:r>
        <w:rPr>
          <w:rFonts w:eastAsia="宋体"/>
          <w:b w:val="0"/>
          <w:sz w:val="24"/>
          <w:szCs w:val="24"/>
        </w:rPr>
        <w:fldChar w:fldCharType="separate"/>
      </w:r>
      <w:r>
        <w:rPr>
          <w:rFonts w:eastAsia="宋体"/>
          <w:b w:val="0"/>
          <w:sz w:val="24"/>
          <w:szCs w:val="24"/>
        </w:rPr>
        <w:t>2  Terms</w:t>
      </w:r>
      <w:r>
        <w:rPr>
          <w:rFonts w:eastAsia="宋体"/>
          <w:b w:val="0"/>
          <w:sz w:val="24"/>
          <w:szCs w:val="24"/>
        </w:rPr>
        <w:tab/>
      </w:r>
      <w:r>
        <w:rPr>
          <w:rFonts w:hint="eastAsia"/>
          <w:b w:val="0"/>
          <w:sz w:val="24"/>
          <w:szCs w:val="24"/>
          <w:lang w:val="en-US" w:eastAsia="zh-CN"/>
        </w:rPr>
        <w:t>2</w:t>
      </w:r>
      <w:r>
        <w:rPr>
          <w:rFonts w:eastAsia="宋体"/>
          <w:b w:val="0"/>
          <w:sz w:val="24"/>
          <w:szCs w:val="24"/>
        </w:rPr>
        <w:fldChar w:fldCharType="end"/>
      </w:r>
    </w:p>
    <w:p w14:paraId="78CFE6C4">
      <w:pPr>
        <w:pStyle w:val="11"/>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_Toc21093 </w:instrText>
      </w:r>
      <w:r>
        <w:rPr>
          <w:rFonts w:eastAsia="宋体"/>
          <w:b w:val="0"/>
          <w:sz w:val="24"/>
          <w:szCs w:val="24"/>
        </w:rPr>
        <w:fldChar w:fldCharType="separate"/>
      </w:r>
      <w:r>
        <w:rPr>
          <w:rFonts w:eastAsia="宋体"/>
          <w:b w:val="0"/>
          <w:sz w:val="24"/>
          <w:szCs w:val="24"/>
        </w:rPr>
        <w:t>3  Materials</w:t>
      </w:r>
      <w:r>
        <w:rPr>
          <w:rFonts w:eastAsia="宋体"/>
          <w:b w:val="0"/>
          <w:sz w:val="24"/>
          <w:szCs w:val="24"/>
        </w:rPr>
        <w:tab/>
      </w:r>
      <w:r>
        <w:rPr>
          <w:rFonts w:hint="eastAsia"/>
          <w:b w:val="0"/>
          <w:sz w:val="24"/>
          <w:szCs w:val="24"/>
          <w:lang w:val="en-US" w:eastAsia="zh-CN"/>
        </w:rPr>
        <w:t>3</w:t>
      </w:r>
      <w:r>
        <w:rPr>
          <w:rFonts w:eastAsia="宋体"/>
          <w:b w:val="0"/>
          <w:sz w:val="24"/>
          <w:szCs w:val="24"/>
        </w:rPr>
        <w:fldChar w:fldCharType="end"/>
      </w:r>
    </w:p>
    <w:p w14:paraId="15F173A7">
      <w:pPr>
        <w:pStyle w:val="12"/>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_Toc17841 </w:instrText>
      </w:r>
      <w:r>
        <w:rPr>
          <w:rFonts w:eastAsia="宋体"/>
          <w:b w:val="0"/>
          <w:sz w:val="24"/>
          <w:szCs w:val="24"/>
        </w:rPr>
        <w:fldChar w:fldCharType="separate"/>
      </w:r>
      <w:r>
        <w:rPr>
          <w:rFonts w:eastAsia="宋体"/>
          <w:b w:val="0"/>
          <w:sz w:val="24"/>
          <w:szCs w:val="24"/>
        </w:rPr>
        <w:t>3.</w:t>
      </w:r>
      <w:r>
        <w:rPr>
          <w:rFonts w:hint="eastAsia" w:eastAsia="宋体"/>
          <w:b w:val="0"/>
          <w:sz w:val="24"/>
          <w:szCs w:val="24"/>
        </w:rPr>
        <w:t>1</w:t>
      </w:r>
      <w:r>
        <w:rPr>
          <w:rFonts w:eastAsia="宋体"/>
          <w:b w:val="0"/>
          <w:sz w:val="24"/>
          <w:szCs w:val="24"/>
        </w:rPr>
        <w:t>  </w:t>
      </w:r>
      <w:r>
        <w:rPr>
          <w:rFonts w:hint="eastAsia" w:eastAsia="宋体"/>
          <w:b w:val="0"/>
          <w:sz w:val="24"/>
          <w:szCs w:val="24"/>
        </w:rPr>
        <w:t>Concret、Reinforcing Bar and Steel</w:t>
      </w:r>
      <w:r>
        <w:rPr>
          <w:rFonts w:eastAsia="宋体"/>
          <w:b w:val="0"/>
          <w:sz w:val="24"/>
          <w:szCs w:val="24"/>
        </w:rPr>
        <w:tab/>
      </w:r>
      <w:r>
        <w:rPr>
          <w:rFonts w:hint="eastAsia"/>
          <w:b w:val="0"/>
          <w:sz w:val="24"/>
          <w:szCs w:val="24"/>
          <w:lang w:val="en-US" w:eastAsia="zh-CN"/>
        </w:rPr>
        <w:t>3</w:t>
      </w:r>
      <w:r>
        <w:rPr>
          <w:rFonts w:eastAsia="宋体"/>
          <w:b w:val="0"/>
          <w:sz w:val="24"/>
          <w:szCs w:val="24"/>
        </w:rPr>
        <w:fldChar w:fldCharType="end"/>
      </w:r>
    </w:p>
    <w:p w14:paraId="50CD9363">
      <w:pPr>
        <w:pStyle w:val="12"/>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_Toc11234 </w:instrText>
      </w:r>
      <w:r>
        <w:rPr>
          <w:rFonts w:eastAsia="宋体"/>
          <w:b w:val="0"/>
          <w:sz w:val="24"/>
          <w:szCs w:val="24"/>
        </w:rPr>
        <w:fldChar w:fldCharType="separate"/>
      </w:r>
      <w:r>
        <w:rPr>
          <w:rFonts w:eastAsia="宋体"/>
          <w:b w:val="0"/>
          <w:sz w:val="24"/>
          <w:szCs w:val="24"/>
        </w:rPr>
        <w:t>3.</w:t>
      </w:r>
      <w:r>
        <w:rPr>
          <w:rFonts w:hint="eastAsia" w:eastAsia="宋体"/>
          <w:b w:val="0"/>
          <w:sz w:val="24"/>
          <w:szCs w:val="24"/>
        </w:rPr>
        <w:t>2</w:t>
      </w:r>
      <w:r>
        <w:rPr>
          <w:rFonts w:eastAsia="宋体"/>
          <w:b w:val="0"/>
          <w:sz w:val="24"/>
          <w:szCs w:val="24"/>
        </w:rPr>
        <w:t>  Gunite</w:t>
      </w:r>
      <w:r>
        <w:rPr>
          <w:rFonts w:hint="eastAsia" w:eastAsia="宋体"/>
          <w:b w:val="0"/>
          <w:sz w:val="24"/>
          <w:szCs w:val="24"/>
        </w:rPr>
        <w:t xml:space="preserve"> and </w:t>
      </w:r>
      <w:r>
        <w:rPr>
          <w:rFonts w:eastAsia="宋体"/>
          <w:b w:val="0"/>
          <w:sz w:val="24"/>
          <w:szCs w:val="24"/>
        </w:rPr>
        <w:t xml:space="preserve">Insulation </w:t>
      </w:r>
      <w:r>
        <w:rPr>
          <w:rFonts w:hint="eastAsia" w:eastAsia="宋体"/>
          <w:b w:val="0"/>
          <w:sz w:val="24"/>
          <w:szCs w:val="24"/>
        </w:rPr>
        <w:t>Material</w:t>
      </w:r>
      <w:r>
        <w:rPr>
          <w:rFonts w:eastAsia="宋体"/>
          <w:b w:val="0"/>
          <w:sz w:val="24"/>
          <w:szCs w:val="24"/>
        </w:rPr>
        <w:tab/>
      </w:r>
      <w:r>
        <w:rPr>
          <w:rFonts w:hint="eastAsia"/>
          <w:b w:val="0"/>
          <w:sz w:val="24"/>
          <w:szCs w:val="24"/>
          <w:lang w:val="en-US" w:eastAsia="zh-CN"/>
        </w:rPr>
        <w:t>3</w:t>
      </w:r>
      <w:r>
        <w:rPr>
          <w:rFonts w:eastAsia="宋体"/>
          <w:b w:val="0"/>
          <w:sz w:val="24"/>
          <w:szCs w:val="24"/>
        </w:rPr>
        <w:fldChar w:fldCharType="end"/>
      </w:r>
    </w:p>
    <w:p w14:paraId="4022628B">
      <w:pPr>
        <w:pStyle w:val="12"/>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_Toc4352 </w:instrText>
      </w:r>
      <w:r>
        <w:rPr>
          <w:rFonts w:eastAsia="宋体"/>
          <w:b w:val="0"/>
          <w:sz w:val="24"/>
          <w:szCs w:val="24"/>
        </w:rPr>
        <w:fldChar w:fldCharType="separate"/>
      </w:r>
      <w:r>
        <w:rPr>
          <w:rFonts w:eastAsia="宋体"/>
          <w:b w:val="0"/>
          <w:sz w:val="24"/>
          <w:szCs w:val="24"/>
        </w:rPr>
        <w:t>3.</w:t>
      </w:r>
      <w:r>
        <w:rPr>
          <w:rFonts w:hint="eastAsia" w:eastAsia="宋体"/>
          <w:b w:val="0"/>
          <w:sz w:val="24"/>
          <w:szCs w:val="24"/>
        </w:rPr>
        <w:t>3</w:t>
      </w:r>
      <w:r>
        <w:rPr>
          <w:rFonts w:eastAsia="宋体"/>
          <w:b w:val="0"/>
          <w:sz w:val="24"/>
          <w:szCs w:val="24"/>
        </w:rPr>
        <w:t>  Connection Material</w:t>
      </w:r>
      <w:r>
        <w:rPr>
          <w:rFonts w:eastAsia="宋体"/>
          <w:b w:val="0"/>
          <w:sz w:val="24"/>
          <w:szCs w:val="24"/>
        </w:rPr>
        <w:tab/>
      </w:r>
      <w:r>
        <w:rPr>
          <w:rFonts w:hint="eastAsia"/>
          <w:b w:val="0"/>
          <w:sz w:val="24"/>
          <w:szCs w:val="24"/>
          <w:lang w:val="en-US" w:eastAsia="zh-CN"/>
        </w:rPr>
        <w:t>3</w:t>
      </w:r>
      <w:r>
        <w:rPr>
          <w:rFonts w:eastAsia="宋体"/>
          <w:b w:val="0"/>
          <w:sz w:val="24"/>
          <w:szCs w:val="24"/>
        </w:rPr>
        <w:fldChar w:fldCharType="end"/>
      </w:r>
    </w:p>
    <w:p w14:paraId="14AA1220">
      <w:pPr>
        <w:pStyle w:val="11"/>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_Toc21189 </w:instrText>
      </w:r>
      <w:r>
        <w:rPr>
          <w:rFonts w:eastAsia="宋体"/>
          <w:b w:val="0"/>
          <w:sz w:val="24"/>
          <w:szCs w:val="24"/>
        </w:rPr>
        <w:fldChar w:fldCharType="separate"/>
      </w:r>
      <w:r>
        <w:rPr>
          <w:rFonts w:eastAsia="宋体"/>
          <w:b w:val="0"/>
          <w:sz w:val="24"/>
          <w:szCs w:val="24"/>
        </w:rPr>
        <w:t xml:space="preserve">4  </w:t>
      </w:r>
      <w:r>
        <w:rPr>
          <w:rFonts w:hint="eastAsia" w:eastAsia="宋体"/>
          <w:b w:val="0"/>
          <w:sz w:val="24"/>
          <w:szCs w:val="24"/>
        </w:rPr>
        <w:t>Architectural Design</w:t>
      </w:r>
      <w:r>
        <w:rPr>
          <w:rFonts w:eastAsia="宋体"/>
          <w:b w:val="0"/>
          <w:sz w:val="24"/>
          <w:szCs w:val="24"/>
        </w:rPr>
        <w:tab/>
      </w:r>
      <w:r>
        <w:rPr>
          <w:rFonts w:hint="eastAsia"/>
          <w:b w:val="0"/>
          <w:sz w:val="24"/>
          <w:szCs w:val="24"/>
          <w:lang w:val="en-US" w:eastAsia="zh-CN"/>
        </w:rPr>
        <w:t>5</w:t>
      </w:r>
      <w:r>
        <w:rPr>
          <w:rFonts w:eastAsia="宋体"/>
          <w:b w:val="0"/>
          <w:sz w:val="24"/>
          <w:szCs w:val="24"/>
        </w:rPr>
        <w:fldChar w:fldCharType="end"/>
      </w:r>
    </w:p>
    <w:p w14:paraId="6280B06D">
      <w:pPr>
        <w:pStyle w:val="12"/>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_Toc20873 </w:instrText>
      </w:r>
      <w:r>
        <w:rPr>
          <w:rFonts w:eastAsia="宋体"/>
          <w:b w:val="0"/>
          <w:sz w:val="24"/>
          <w:szCs w:val="24"/>
        </w:rPr>
        <w:fldChar w:fldCharType="separate"/>
      </w:r>
      <w:r>
        <w:rPr>
          <w:rFonts w:eastAsia="宋体"/>
          <w:b w:val="0"/>
          <w:sz w:val="24"/>
          <w:szCs w:val="24"/>
        </w:rPr>
        <w:t>4.1  General</w:t>
      </w:r>
      <w:r>
        <w:rPr>
          <w:rFonts w:eastAsia="宋体"/>
          <w:b w:val="0"/>
          <w:sz w:val="24"/>
          <w:szCs w:val="24"/>
        </w:rPr>
        <w:tab/>
      </w:r>
      <w:r>
        <w:rPr>
          <w:rFonts w:hint="eastAsia"/>
          <w:b w:val="0"/>
          <w:sz w:val="24"/>
          <w:szCs w:val="24"/>
          <w:lang w:val="en-US" w:eastAsia="zh-CN"/>
        </w:rPr>
        <w:t>5</w:t>
      </w:r>
      <w:r>
        <w:rPr>
          <w:rFonts w:eastAsia="宋体"/>
          <w:b w:val="0"/>
          <w:sz w:val="24"/>
          <w:szCs w:val="24"/>
        </w:rPr>
        <w:fldChar w:fldCharType="end"/>
      </w:r>
    </w:p>
    <w:p w14:paraId="48CA7F8B">
      <w:pPr>
        <w:pStyle w:val="12"/>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_Toc691 </w:instrText>
      </w:r>
      <w:r>
        <w:rPr>
          <w:rFonts w:eastAsia="宋体"/>
          <w:b w:val="0"/>
          <w:sz w:val="24"/>
          <w:szCs w:val="24"/>
        </w:rPr>
        <w:fldChar w:fldCharType="separate"/>
      </w:r>
      <w:r>
        <w:rPr>
          <w:rFonts w:eastAsia="宋体"/>
          <w:b w:val="0"/>
          <w:sz w:val="24"/>
          <w:szCs w:val="24"/>
        </w:rPr>
        <w:t>4.</w:t>
      </w:r>
      <w:r>
        <w:rPr>
          <w:rFonts w:hint="eastAsia" w:eastAsia="宋体"/>
          <w:b w:val="0"/>
          <w:sz w:val="24"/>
          <w:szCs w:val="24"/>
        </w:rPr>
        <w:t>2</w:t>
      </w:r>
      <w:r>
        <w:rPr>
          <w:rFonts w:eastAsia="宋体"/>
          <w:b w:val="0"/>
          <w:sz w:val="24"/>
          <w:szCs w:val="24"/>
        </w:rPr>
        <w:t>  </w:t>
      </w:r>
      <w:r>
        <w:rPr>
          <w:rFonts w:hint="eastAsia" w:eastAsia="宋体"/>
          <w:b w:val="0"/>
          <w:sz w:val="24"/>
          <w:szCs w:val="24"/>
        </w:rPr>
        <w:t>Building Performance</w:t>
      </w:r>
      <w:r>
        <w:rPr>
          <w:rFonts w:eastAsia="宋体"/>
          <w:b w:val="0"/>
          <w:sz w:val="24"/>
          <w:szCs w:val="24"/>
        </w:rPr>
        <w:tab/>
      </w:r>
      <w:r>
        <w:rPr>
          <w:rFonts w:hint="eastAsia"/>
          <w:b w:val="0"/>
          <w:sz w:val="24"/>
          <w:szCs w:val="24"/>
          <w:lang w:val="en-US" w:eastAsia="zh-CN"/>
        </w:rPr>
        <w:t>5</w:t>
      </w:r>
      <w:r>
        <w:rPr>
          <w:rFonts w:eastAsia="宋体"/>
          <w:b w:val="0"/>
          <w:sz w:val="24"/>
          <w:szCs w:val="24"/>
        </w:rPr>
        <w:fldChar w:fldCharType="end"/>
      </w:r>
    </w:p>
    <w:p w14:paraId="4B67926B">
      <w:pPr>
        <w:pStyle w:val="12"/>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_Toc14781 </w:instrText>
      </w:r>
      <w:r>
        <w:rPr>
          <w:rFonts w:eastAsia="宋体"/>
          <w:b w:val="0"/>
          <w:sz w:val="24"/>
          <w:szCs w:val="24"/>
        </w:rPr>
        <w:fldChar w:fldCharType="separate"/>
      </w:r>
      <w:r>
        <w:rPr>
          <w:rFonts w:eastAsia="宋体"/>
          <w:b w:val="0"/>
          <w:sz w:val="24"/>
          <w:szCs w:val="24"/>
        </w:rPr>
        <w:t>4.</w:t>
      </w:r>
      <w:r>
        <w:rPr>
          <w:rFonts w:hint="eastAsia" w:eastAsia="宋体"/>
          <w:b w:val="0"/>
          <w:sz w:val="24"/>
          <w:szCs w:val="24"/>
        </w:rPr>
        <w:t>3</w:t>
      </w:r>
      <w:r>
        <w:rPr>
          <w:rFonts w:eastAsia="宋体"/>
          <w:b w:val="0"/>
          <w:sz w:val="24"/>
          <w:szCs w:val="24"/>
        </w:rPr>
        <w:t>  </w:t>
      </w:r>
      <w:r>
        <w:rPr>
          <w:rFonts w:hint="eastAsia" w:eastAsia="宋体"/>
          <w:b w:val="0"/>
          <w:sz w:val="24"/>
          <w:szCs w:val="24"/>
        </w:rPr>
        <w:t>Plane Layout、Facade and Space of Buildings</w:t>
      </w:r>
      <w:r>
        <w:rPr>
          <w:rFonts w:eastAsia="宋体"/>
          <w:b w:val="0"/>
          <w:sz w:val="24"/>
          <w:szCs w:val="24"/>
        </w:rPr>
        <w:tab/>
      </w:r>
      <w:r>
        <w:rPr>
          <w:rFonts w:hint="eastAsia"/>
          <w:b w:val="0"/>
          <w:sz w:val="24"/>
          <w:szCs w:val="24"/>
          <w:lang w:val="en-US" w:eastAsia="zh-CN"/>
        </w:rPr>
        <w:t>5</w:t>
      </w:r>
      <w:r>
        <w:rPr>
          <w:rFonts w:eastAsia="宋体"/>
          <w:b w:val="0"/>
          <w:sz w:val="24"/>
          <w:szCs w:val="24"/>
        </w:rPr>
        <w:fldChar w:fldCharType="end"/>
      </w:r>
    </w:p>
    <w:p w14:paraId="400A2A03">
      <w:pPr>
        <w:pStyle w:val="12"/>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_Toc31799 </w:instrText>
      </w:r>
      <w:r>
        <w:rPr>
          <w:rFonts w:eastAsia="宋体"/>
          <w:b w:val="0"/>
          <w:sz w:val="24"/>
          <w:szCs w:val="24"/>
        </w:rPr>
        <w:fldChar w:fldCharType="separate"/>
      </w:r>
      <w:r>
        <w:rPr>
          <w:rFonts w:eastAsia="宋体"/>
          <w:b w:val="0"/>
          <w:sz w:val="24"/>
          <w:szCs w:val="24"/>
        </w:rPr>
        <w:t>4.</w:t>
      </w:r>
      <w:r>
        <w:rPr>
          <w:rFonts w:hint="eastAsia" w:eastAsia="宋体"/>
          <w:b w:val="0"/>
          <w:sz w:val="24"/>
          <w:szCs w:val="24"/>
          <w:lang w:val="en-US" w:eastAsia="zh-CN"/>
        </w:rPr>
        <w:t>4</w:t>
      </w:r>
      <w:r>
        <w:rPr>
          <w:rFonts w:eastAsia="宋体"/>
          <w:b w:val="0"/>
          <w:sz w:val="24"/>
          <w:szCs w:val="24"/>
        </w:rPr>
        <w:t>  </w:t>
      </w:r>
      <w:r>
        <w:rPr>
          <w:rFonts w:hint="eastAsia" w:eastAsia="宋体"/>
          <w:b w:val="0"/>
          <w:sz w:val="24"/>
          <w:szCs w:val="24"/>
        </w:rPr>
        <w:t xml:space="preserve">Wall </w:t>
      </w:r>
      <w:r>
        <w:rPr>
          <w:rFonts w:hint="eastAsia" w:eastAsia="宋体"/>
          <w:b w:val="0"/>
          <w:sz w:val="24"/>
          <w:szCs w:val="24"/>
          <w:lang w:val="en-US" w:eastAsia="zh-CN"/>
        </w:rPr>
        <w:t xml:space="preserve">and Roof </w:t>
      </w:r>
      <w:r>
        <w:rPr>
          <w:rFonts w:hint="eastAsia" w:eastAsia="宋体"/>
          <w:b w:val="0"/>
          <w:sz w:val="24"/>
          <w:szCs w:val="24"/>
        </w:rPr>
        <w:t>Design</w:t>
      </w:r>
      <w:r>
        <w:rPr>
          <w:rFonts w:eastAsia="宋体"/>
          <w:b w:val="0"/>
          <w:sz w:val="24"/>
          <w:szCs w:val="24"/>
        </w:rPr>
        <w:tab/>
      </w:r>
      <w:r>
        <w:rPr>
          <w:rFonts w:hint="eastAsia"/>
          <w:b w:val="0"/>
          <w:sz w:val="24"/>
          <w:szCs w:val="24"/>
          <w:lang w:val="en-US" w:eastAsia="zh-CN"/>
        </w:rPr>
        <w:t>6</w:t>
      </w:r>
      <w:r>
        <w:rPr>
          <w:rFonts w:eastAsia="宋体"/>
          <w:b w:val="0"/>
          <w:sz w:val="24"/>
          <w:szCs w:val="24"/>
        </w:rPr>
        <w:fldChar w:fldCharType="end"/>
      </w:r>
    </w:p>
    <w:p w14:paraId="6DC276AB">
      <w:pPr>
        <w:pStyle w:val="11"/>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_Toc26738 </w:instrText>
      </w:r>
      <w:r>
        <w:rPr>
          <w:rFonts w:eastAsia="宋体"/>
          <w:b w:val="0"/>
          <w:sz w:val="24"/>
          <w:szCs w:val="24"/>
        </w:rPr>
        <w:fldChar w:fldCharType="separate"/>
      </w:r>
      <w:r>
        <w:rPr>
          <w:rFonts w:eastAsia="宋体"/>
          <w:b w:val="0"/>
          <w:sz w:val="24"/>
          <w:szCs w:val="24"/>
        </w:rPr>
        <w:t xml:space="preserve">5  </w:t>
      </w:r>
      <w:r>
        <w:rPr>
          <w:rFonts w:hint="eastAsia" w:eastAsia="宋体"/>
          <w:b w:val="0"/>
          <w:sz w:val="24"/>
          <w:szCs w:val="24"/>
        </w:rPr>
        <w:t>Structural Design</w:t>
      </w:r>
      <w:r>
        <w:rPr>
          <w:rFonts w:eastAsia="宋体"/>
          <w:b w:val="0"/>
          <w:sz w:val="24"/>
          <w:szCs w:val="24"/>
        </w:rPr>
        <w:tab/>
      </w:r>
      <w:r>
        <w:rPr>
          <w:rFonts w:hint="eastAsia"/>
          <w:b w:val="0"/>
          <w:sz w:val="24"/>
          <w:szCs w:val="24"/>
          <w:lang w:val="en-US" w:eastAsia="zh-CN"/>
        </w:rPr>
        <w:t>7</w:t>
      </w:r>
      <w:r>
        <w:rPr>
          <w:rFonts w:eastAsia="宋体"/>
          <w:b w:val="0"/>
          <w:sz w:val="24"/>
          <w:szCs w:val="24"/>
        </w:rPr>
        <w:fldChar w:fldCharType="end"/>
      </w:r>
    </w:p>
    <w:p w14:paraId="341B1585">
      <w:pPr>
        <w:pStyle w:val="12"/>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_Toc2426 </w:instrText>
      </w:r>
      <w:r>
        <w:rPr>
          <w:rFonts w:eastAsia="宋体"/>
          <w:b w:val="0"/>
          <w:sz w:val="24"/>
          <w:szCs w:val="24"/>
        </w:rPr>
        <w:fldChar w:fldCharType="separate"/>
      </w:r>
      <w:r>
        <w:rPr>
          <w:rFonts w:eastAsia="宋体"/>
          <w:b w:val="0"/>
          <w:sz w:val="24"/>
          <w:szCs w:val="24"/>
        </w:rPr>
        <w:t>5.1  General</w:t>
      </w:r>
      <w:r>
        <w:rPr>
          <w:rFonts w:eastAsia="宋体"/>
          <w:b w:val="0"/>
          <w:sz w:val="24"/>
          <w:szCs w:val="24"/>
        </w:rPr>
        <w:tab/>
      </w:r>
      <w:r>
        <w:rPr>
          <w:rFonts w:hint="eastAsia"/>
          <w:b w:val="0"/>
          <w:sz w:val="24"/>
          <w:szCs w:val="24"/>
          <w:lang w:val="en-US" w:eastAsia="zh-CN"/>
        </w:rPr>
        <w:t>7</w:t>
      </w:r>
      <w:r>
        <w:rPr>
          <w:rFonts w:eastAsia="宋体"/>
          <w:b w:val="0"/>
          <w:sz w:val="24"/>
          <w:szCs w:val="24"/>
        </w:rPr>
        <w:fldChar w:fldCharType="end"/>
      </w:r>
    </w:p>
    <w:p w14:paraId="1E4156DA">
      <w:pPr>
        <w:pStyle w:val="12"/>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_Toc13101 </w:instrText>
      </w:r>
      <w:r>
        <w:rPr>
          <w:rFonts w:eastAsia="宋体"/>
          <w:b w:val="0"/>
          <w:sz w:val="24"/>
          <w:szCs w:val="24"/>
        </w:rPr>
        <w:fldChar w:fldCharType="separate"/>
      </w:r>
      <w:r>
        <w:rPr>
          <w:rFonts w:eastAsia="宋体"/>
          <w:b w:val="0"/>
          <w:sz w:val="24"/>
          <w:szCs w:val="24"/>
        </w:rPr>
        <w:t>5.</w:t>
      </w:r>
      <w:r>
        <w:rPr>
          <w:rFonts w:hint="eastAsia" w:eastAsia="宋体"/>
          <w:b w:val="0"/>
          <w:sz w:val="24"/>
          <w:szCs w:val="24"/>
        </w:rPr>
        <w:t>2</w:t>
      </w:r>
      <w:r>
        <w:rPr>
          <w:rFonts w:eastAsia="宋体"/>
          <w:b w:val="0"/>
          <w:sz w:val="24"/>
          <w:szCs w:val="24"/>
        </w:rPr>
        <w:t>  </w:t>
      </w:r>
      <w:r>
        <w:rPr>
          <w:rFonts w:hint="eastAsia" w:eastAsia="宋体"/>
          <w:b w:val="0"/>
          <w:sz w:val="24"/>
          <w:szCs w:val="24"/>
        </w:rPr>
        <w:t>Structure Design</w:t>
      </w:r>
      <w:r>
        <w:rPr>
          <w:rFonts w:eastAsia="宋体"/>
          <w:b w:val="0"/>
          <w:sz w:val="24"/>
          <w:szCs w:val="24"/>
        </w:rPr>
        <w:tab/>
      </w:r>
      <w:r>
        <w:rPr>
          <w:rFonts w:hint="eastAsia"/>
          <w:b w:val="0"/>
          <w:sz w:val="24"/>
          <w:szCs w:val="24"/>
          <w:lang w:val="en-US" w:eastAsia="zh-CN"/>
        </w:rPr>
        <w:t>7</w:t>
      </w:r>
      <w:r>
        <w:rPr>
          <w:rFonts w:eastAsia="宋体"/>
          <w:b w:val="0"/>
          <w:sz w:val="24"/>
          <w:szCs w:val="24"/>
        </w:rPr>
        <w:fldChar w:fldCharType="end"/>
      </w:r>
    </w:p>
    <w:p w14:paraId="237D1BBC">
      <w:pPr>
        <w:pStyle w:val="12"/>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_Toc5601 </w:instrText>
      </w:r>
      <w:r>
        <w:rPr>
          <w:rFonts w:eastAsia="宋体"/>
          <w:b w:val="0"/>
          <w:sz w:val="24"/>
          <w:szCs w:val="24"/>
        </w:rPr>
        <w:fldChar w:fldCharType="separate"/>
      </w:r>
      <w:r>
        <w:rPr>
          <w:rFonts w:eastAsia="宋体"/>
          <w:b w:val="0"/>
          <w:sz w:val="24"/>
          <w:szCs w:val="24"/>
        </w:rPr>
        <w:t>5.3  </w:t>
      </w:r>
      <w:r>
        <w:rPr>
          <w:rFonts w:hint="eastAsia" w:eastAsia="宋体"/>
          <w:b w:val="0"/>
          <w:sz w:val="24"/>
          <w:szCs w:val="24"/>
        </w:rPr>
        <w:t>Foundation</w:t>
      </w:r>
      <w:r>
        <w:rPr>
          <w:rFonts w:hint="eastAsia" w:eastAsia="宋体"/>
          <w:b w:val="0"/>
          <w:sz w:val="24"/>
          <w:szCs w:val="24"/>
          <w:lang w:val="en-US" w:eastAsia="zh-CN"/>
        </w:rPr>
        <w:t xml:space="preserve"> </w:t>
      </w:r>
      <w:r>
        <w:rPr>
          <w:rFonts w:hint="eastAsia" w:eastAsia="宋体"/>
          <w:b w:val="0"/>
          <w:sz w:val="24"/>
          <w:szCs w:val="24"/>
        </w:rPr>
        <w:t>Design</w:t>
      </w:r>
      <w:r>
        <w:rPr>
          <w:rFonts w:eastAsia="宋体"/>
          <w:b w:val="0"/>
          <w:sz w:val="24"/>
          <w:szCs w:val="24"/>
        </w:rPr>
        <w:tab/>
      </w:r>
      <w:r>
        <w:rPr>
          <w:rFonts w:hint="eastAsia"/>
          <w:b w:val="0"/>
          <w:sz w:val="24"/>
          <w:szCs w:val="24"/>
          <w:lang w:val="en-US" w:eastAsia="zh-CN"/>
        </w:rPr>
        <w:t>8</w:t>
      </w:r>
      <w:r>
        <w:rPr>
          <w:rFonts w:eastAsia="宋体"/>
          <w:b w:val="0"/>
          <w:sz w:val="24"/>
          <w:szCs w:val="24"/>
        </w:rPr>
        <w:fldChar w:fldCharType="end"/>
      </w:r>
    </w:p>
    <w:p w14:paraId="09041F61">
      <w:pPr>
        <w:pStyle w:val="11"/>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_Toc31696 </w:instrText>
      </w:r>
      <w:r>
        <w:rPr>
          <w:rFonts w:eastAsia="宋体"/>
          <w:b w:val="0"/>
          <w:sz w:val="24"/>
          <w:szCs w:val="24"/>
        </w:rPr>
        <w:fldChar w:fldCharType="separate"/>
      </w:r>
      <w:r>
        <w:rPr>
          <w:rFonts w:eastAsia="宋体"/>
          <w:b w:val="0"/>
          <w:sz w:val="24"/>
          <w:szCs w:val="24"/>
        </w:rPr>
        <w:t xml:space="preserve">6  </w:t>
      </w:r>
      <w:r>
        <w:rPr>
          <w:rFonts w:hint="eastAsia" w:eastAsia="宋体"/>
          <w:b w:val="0"/>
          <w:sz w:val="24"/>
          <w:szCs w:val="24"/>
          <w:lang w:val="en-US" w:eastAsia="zh-CN"/>
        </w:rPr>
        <w:t>M</w:t>
      </w:r>
      <w:r>
        <w:rPr>
          <w:rFonts w:hint="eastAsia" w:eastAsia="宋体"/>
          <w:b w:val="0"/>
          <w:sz w:val="24"/>
          <w:szCs w:val="24"/>
        </w:rPr>
        <w:t>echanical and </w:t>
      </w:r>
      <w:r>
        <w:rPr>
          <w:rFonts w:hint="eastAsia" w:eastAsia="宋体"/>
          <w:b w:val="0"/>
          <w:sz w:val="24"/>
          <w:szCs w:val="24"/>
          <w:lang w:val="en-US" w:eastAsia="zh-CN"/>
        </w:rPr>
        <w:t>E</w:t>
      </w:r>
      <w:r>
        <w:rPr>
          <w:rFonts w:hint="eastAsia" w:eastAsia="宋体"/>
          <w:b w:val="0"/>
          <w:sz w:val="24"/>
          <w:szCs w:val="24"/>
        </w:rPr>
        <w:t>lectrical </w:t>
      </w:r>
      <w:r>
        <w:rPr>
          <w:rFonts w:hint="eastAsia" w:eastAsia="宋体"/>
          <w:b w:val="0"/>
          <w:sz w:val="24"/>
          <w:szCs w:val="24"/>
          <w:lang w:val="en-US" w:eastAsia="zh-CN"/>
        </w:rPr>
        <w:t>E</w:t>
      </w:r>
      <w:r>
        <w:rPr>
          <w:rFonts w:hint="eastAsia" w:eastAsia="宋体"/>
          <w:b w:val="0"/>
          <w:sz w:val="24"/>
          <w:szCs w:val="24"/>
        </w:rPr>
        <w:t>quipment</w:t>
      </w:r>
      <w:r>
        <w:rPr>
          <w:rFonts w:hint="eastAsia" w:eastAsia="宋体"/>
          <w:b w:val="0"/>
          <w:sz w:val="24"/>
          <w:szCs w:val="24"/>
          <w:lang w:val="en-US" w:eastAsia="zh-CN"/>
        </w:rPr>
        <w:t xml:space="preserve"> </w:t>
      </w:r>
      <w:r>
        <w:rPr>
          <w:rFonts w:hint="eastAsia" w:eastAsia="宋体"/>
          <w:b w:val="0"/>
          <w:sz w:val="24"/>
          <w:szCs w:val="24"/>
        </w:rPr>
        <w:t>Design</w:t>
      </w:r>
      <w:r>
        <w:rPr>
          <w:rFonts w:eastAsia="宋体"/>
          <w:b w:val="0"/>
          <w:sz w:val="24"/>
          <w:szCs w:val="24"/>
        </w:rPr>
        <w:tab/>
      </w:r>
      <w:r>
        <w:rPr>
          <w:rFonts w:hint="eastAsia"/>
          <w:b w:val="0"/>
          <w:sz w:val="24"/>
          <w:szCs w:val="24"/>
          <w:lang w:val="en-US" w:eastAsia="zh-CN"/>
        </w:rPr>
        <w:t>9</w:t>
      </w:r>
      <w:r>
        <w:rPr>
          <w:rFonts w:eastAsia="宋体"/>
          <w:b w:val="0"/>
          <w:sz w:val="24"/>
          <w:szCs w:val="24"/>
        </w:rPr>
        <w:fldChar w:fldCharType="end"/>
      </w:r>
    </w:p>
    <w:p w14:paraId="0C8D7DE7">
      <w:pPr>
        <w:pStyle w:val="12"/>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_Toc22420 </w:instrText>
      </w:r>
      <w:r>
        <w:rPr>
          <w:rFonts w:eastAsia="宋体"/>
          <w:b w:val="0"/>
          <w:sz w:val="24"/>
          <w:szCs w:val="24"/>
        </w:rPr>
        <w:fldChar w:fldCharType="separate"/>
      </w:r>
      <w:r>
        <w:rPr>
          <w:rFonts w:eastAsia="宋体"/>
          <w:b w:val="0"/>
          <w:sz w:val="24"/>
          <w:szCs w:val="24"/>
        </w:rPr>
        <w:t>6.1  General</w:t>
      </w:r>
      <w:r>
        <w:rPr>
          <w:rFonts w:eastAsia="宋体"/>
          <w:b w:val="0"/>
          <w:sz w:val="24"/>
          <w:szCs w:val="24"/>
        </w:rPr>
        <w:tab/>
      </w:r>
      <w:r>
        <w:rPr>
          <w:rFonts w:hint="eastAsia"/>
          <w:b w:val="0"/>
          <w:sz w:val="24"/>
          <w:szCs w:val="24"/>
          <w:lang w:val="en-US" w:eastAsia="zh-CN"/>
        </w:rPr>
        <w:t>9</w:t>
      </w:r>
      <w:r>
        <w:rPr>
          <w:rFonts w:eastAsia="宋体"/>
          <w:b w:val="0"/>
          <w:sz w:val="24"/>
          <w:szCs w:val="24"/>
        </w:rPr>
        <w:fldChar w:fldCharType="end"/>
      </w:r>
    </w:p>
    <w:p w14:paraId="715A2744">
      <w:pPr>
        <w:pStyle w:val="12"/>
        <w:tabs>
          <w:tab w:val="right" w:leader="dot" w:pos="8306"/>
        </w:tabs>
        <w:rPr>
          <w:rFonts w:eastAsia="宋体"/>
          <w:b w:val="0"/>
          <w:sz w:val="24"/>
          <w:szCs w:val="24"/>
        </w:rPr>
      </w:pPr>
      <w:r>
        <w:rPr>
          <w:rFonts w:eastAsia="宋体"/>
          <w:b w:val="0"/>
          <w:sz w:val="24"/>
          <w:szCs w:val="24"/>
        </w:rPr>
        <w:fldChar w:fldCharType="begin"/>
      </w:r>
      <w:r>
        <w:rPr>
          <w:rFonts w:eastAsia="宋体"/>
          <w:b w:val="0"/>
          <w:sz w:val="24"/>
          <w:szCs w:val="24"/>
        </w:rPr>
        <w:instrText xml:space="preserve"> HYPERLINK \l _Toc13441 </w:instrText>
      </w:r>
      <w:r>
        <w:rPr>
          <w:rFonts w:eastAsia="宋体"/>
          <w:b w:val="0"/>
          <w:sz w:val="24"/>
          <w:szCs w:val="24"/>
        </w:rPr>
        <w:fldChar w:fldCharType="separate"/>
      </w:r>
      <w:r>
        <w:rPr>
          <w:rFonts w:eastAsia="宋体"/>
          <w:b w:val="0"/>
          <w:sz w:val="24"/>
          <w:szCs w:val="24"/>
        </w:rPr>
        <w:t>6.2  </w:t>
      </w:r>
      <w:r>
        <w:rPr>
          <w:rFonts w:hint="eastAsia" w:eastAsia="宋体"/>
          <w:b w:val="0"/>
          <w:sz w:val="24"/>
          <w:szCs w:val="24"/>
        </w:rPr>
        <w:t>Water Supply and Drainage</w:t>
      </w:r>
      <w:r>
        <w:rPr>
          <w:rFonts w:hint="eastAsia" w:eastAsia="宋体"/>
          <w:b w:val="0"/>
          <w:sz w:val="24"/>
          <w:szCs w:val="24"/>
          <w:lang w:val="en-US" w:eastAsia="zh-CN"/>
        </w:rPr>
        <w:t xml:space="preserve"> </w:t>
      </w:r>
      <w:r>
        <w:rPr>
          <w:rFonts w:hint="eastAsia" w:eastAsia="宋体"/>
          <w:b w:val="0"/>
          <w:sz w:val="24"/>
          <w:szCs w:val="24"/>
        </w:rPr>
        <w:t>Design</w:t>
      </w:r>
      <w:r>
        <w:rPr>
          <w:rFonts w:eastAsia="宋体"/>
          <w:b w:val="0"/>
          <w:sz w:val="24"/>
          <w:szCs w:val="24"/>
        </w:rPr>
        <w:tab/>
      </w:r>
      <w:r>
        <w:rPr>
          <w:rFonts w:hint="eastAsia"/>
          <w:b w:val="0"/>
          <w:sz w:val="24"/>
          <w:szCs w:val="24"/>
          <w:lang w:val="en-US" w:eastAsia="zh-CN"/>
        </w:rPr>
        <w:t>9</w:t>
      </w:r>
      <w:r>
        <w:rPr>
          <w:rFonts w:eastAsia="宋体"/>
          <w:b w:val="0"/>
          <w:sz w:val="24"/>
          <w:szCs w:val="24"/>
        </w:rPr>
        <w:fldChar w:fldCharType="end"/>
      </w:r>
    </w:p>
    <w:p w14:paraId="04BE3FE0">
      <w:pPr>
        <w:pStyle w:val="12"/>
        <w:tabs>
          <w:tab w:val="right" w:leader="dot" w:pos="8306"/>
        </w:tabs>
        <w:rPr>
          <w:rFonts w:hint="eastAsia" w:eastAsia="宋体"/>
          <w:b w:val="0"/>
          <w:sz w:val="24"/>
          <w:szCs w:val="24"/>
          <w:lang w:val="en-US" w:eastAsia="zh-CN"/>
        </w:rPr>
      </w:pPr>
      <w:r>
        <w:rPr>
          <w:rFonts w:eastAsia="宋体"/>
          <w:b w:val="0"/>
          <w:sz w:val="24"/>
          <w:szCs w:val="24"/>
        </w:rPr>
        <w:fldChar w:fldCharType="begin"/>
      </w:r>
      <w:r>
        <w:rPr>
          <w:rFonts w:eastAsia="宋体"/>
          <w:b w:val="0"/>
          <w:sz w:val="24"/>
          <w:szCs w:val="24"/>
        </w:rPr>
        <w:instrText xml:space="preserve"> HYPERLINK \l _Toc16952 </w:instrText>
      </w:r>
      <w:r>
        <w:rPr>
          <w:rFonts w:eastAsia="宋体"/>
          <w:b w:val="0"/>
          <w:sz w:val="24"/>
          <w:szCs w:val="24"/>
        </w:rPr>
        <w:fldChar w:fldCharType="separate"/>
      </w:r>
      <w:r>
        <w:rPr>
          <w:rFonts w:eastAsia="宋体"/>
          <w:b w:val="0"/>
          <w:sz w:val="24"/>
          <w:szCs w:val="24"/>
        </w:rPr>
        <w:t>6.3  </w:t>
      </w:r>
      <w:r>
        <w:rPr>
          <w:rFonts w:hint="eastAsia" w:eastAsia="宋体"/>
          <w:b w:val="0"/>
          <w:sz w:val="24"/>
          <w:szCs w:val="24"/>
        </w:rPr>
        <w:t>Electric and Intelligent</w:t>
      </w:r>
      <w:r>
        <w:rPr>
          <w:rFonts w:hint="eastAsia" w:eastAsia="宋体"/>
          <w:b w:val="0"/>
          <w:sz w:val="24"/>
          <w:szCs w:val="24"/>
          <w:lang w:val="en-US" w:eastAsia="zh-CN"/>
        </w:rPr>
        <w:t xml:space="preserve"> </w:t>
      </w:r>
      <w:r>
        <w:rPr>
          <w:rFonts w:hint="eastAsia" w:eastAsia="宋体"/>
          <w:b w:val="0"/>
          <w:sz w:val="24"/>
          <w:szCs w:val="24"/>
        </w:rPr>
        <w:t>Design</w:t>
      </w:r>
      <w:r>
        <w:rPr>
          <w:rFonts w:eastAsia="宋体"/>
          <w:b w:val="0"/>
          <w:sz w:val="24"/>
          <w:szCs w:val="24"/>
        </w:rPr>
        <w:tab/>
      </w:r>
      <w:r>
        <w:rPr>
          <w:rFonts w:hint="eastAsia"/>
          <w:b w:val="0"/>
          <w:sz w:val="24"/>
          <w:szCs w:val="24"/>
          <w:lang w:val="en-US" w:eastAsia="zh-CN"/>
        </w:rPr>
        <w:t>1</w:t>
      </w:r>
      <w:r>
        <w:rPr>
          <w:rFonts w:eastAsia="宋体"/>
          <w:b w:val="0"/>
          <w:sz w:val="24"/>
          <w:szCs w:val="24"/>
        </w:rPr>
        <w:fldChar w:fldCharType="end"/>
      </w:r>
      <w:r>
        <w:rPr>
          <w:rFonts w:hint="eastAsia"/>
          <w:b w:val="0"/>
          <w:sz w:val="24"/>
          <w:szCs w:val="24"/>
          <w:lang w:val="en-US" w:eastAsia="zh-CN"/>
        </w:rPr>
        <w:t>0</w:t>
      </w:r>
    </w:p>
    <w:p w14:paraId="4E6F6EA9">
      <w:pPr>
        <w:pStyle w:val="12"/>
        <w:tabs>
          <w:tab w:val="right" w:leader="dot" w:pos="8306"/>
        </w:tabs>
        <w:rPr>
          <w:rFonts w:hint="eastAsia" w:eastAsia="宋体"/>
          <w:b w:val="0"/>
          <w:sz w:val="24"/>
          <w:szCs w:val="24"/>
          <w:lang w:val="en-US" w:eastAsia="zh-CN"/>
        </w:rPr>
      </w:pPr>
      <w:r>
        <w:rPr>
          <w:rFonts w:eastAsia="宋体"/>
          <w:b w:val="0"/>
          <w:sz w:val="24"/>
          <w:szCs w:val="24"/>
        </w:rPr>
        <w:fldChar w:fldCharType="begin"/>
      </w:r>
      <w:r>
        <w:rPr>
          <w:rFonts w:eastAsia="宋体"/>
          <w:b w:val="0"/>
          <w:sz w:val="24"/>
          <w:szCs w:val="24"/>
        </w:rPr>
        <w:instrText xml:space="preserve"> HYPERLINK \l _Toc3084 </w:instrText>
      </w:r>
      <w:r>
        <w:rPr>
          <w:rFonts w:eastAsia="宋体"/>
          <w:b w:val="0"/>
          <w:sz w:val="24"/>
          <w:szCs w:val="24"/>
        </w:rPr>
        <w:fldChar w:fldCharType="separate"/>
      </w:r>
      <w:r>
        <w:rPr>
          <w:rFonts w:eastAsia="宋体"/>
          <w:b w:val="0"/>
          <w:sz w:val="24"/>
          <w:szCs w:val="24"/>
        </w:rPr>
        <w:t>6.4  </w:t>
      </w:r>
      <w:r>
        <w:rPr>
          <w:rFonts w:hint="eastAsia" w:eastAsia="宋体"/>
          <w:b w:val="0"/>
          <w:sz w:val="24"/>
          <w:szCs w:val="24"/>
        </w:rPr>
        <w:t xml:space="preserve">Heating and </w:t>
      </w:r>
      <w:r>
        <w:rPr>
          <w:rFonts w:hint="eastAsia" w:eastAsia="宋体"/>
          <w:b w:val="0"/>
          <w:sz w:val="24"/>
          <w:szCs w:val="24"/>
          <w:lang w:val="en-US" w:eastAsia="zh-CN"/>
        </w:rPr>
        <w:t>V</w:t>
      </w:r>
      <w:r>
        <w:rPr>
          <w:rFonts w:hint="eastAsia" w:eastAsia="宋体"/>
          <w:b w:val="0"/>
          <w:sz w:val="24"/>
          <w:szCs w:val="24"/>
        </w:rPr>
        <w:t xml:space="preserve">entilation </w:t>
      </w:r>
      <w:r>
        <w:rPr>
          <w:rFonts w:hint="eastAsia" w:eastAsia="宋体"/>
          <w:b w:val="0"/>
          <w:sz w:val="24"/>
          <w:szCs w:val="24"/>
          <w:lang w:val="en-US" w:eastAsia="zh-CN"/>
        </w:rPr>
        <w:t>D</w:t>
      </w:r>
      <w:r>
        <w:rPr>
          <w:rFonts w:hint="eastAsia" w:eastAsia="宋体"/>
          <w:b w:val="0"/>
          <w:sz w:val="24"/>
          <w:szCs w:val="24"/>
        </w:rPr>
        <w:t>esign</w:t>
      </w:r>
      <w:r>
        <w:rPr>
          <w:rFonts w:eastAsia="宋体"/>
          <w:b w:val="0"/>
          <w:sz w:val="24"/>
          <w:szCs w:val="24"/>
        </w:rPr>
        <w:tab/>
      </w:r>
      <w:r>
        <w:rPr>
          <w:rFonts w:hint="eastAsia"/>
          <w:b w:val="0"/>
          <w:sz w:val="24"/>
          <w:szCs w:val="24"/>
          <w:lang w:val="en-US" w:eastAsia="zh-CN"/>
        </w:rPr>
        <w:t>1</w:t>
      </w:r>
      <w:r>
        <w:rPr>
          <w:rFonts w:eastAsia="宋体"/>
          <w:b w:val="0"/>
          <w:sz w:val="24"/>
          <w:szCs w:val="24"/>
        </w:rPr>
        <w:fldChar w:fldCharType="end"/>
      </w:r>
      <w:r>
        <w:rPr>
          <w:rFonts w:hint="eastAsia"/>
          <w:b w:val="0"/>
          <w:sz w:val="24"/>
          <w:szCs w:val="24"/>
          <w:lang w:val="en-US" w:eastAsia="zh-CN"/>
        </w:rPr>
        <w:t>1</w:t>
      </w:r>
    </w:p>
    <w:p w14:paraId="498C0007">
      <w:pPr>
        <w:pStyle w:val="11"/>
        <w:tabs>
          <w:tab w:val="right" w:leader="dot" w:pos="8306"/>
        </w:tabs>
        <w:rPr>
          <w:rFonts w:hint="eastAsia" w:eastAsia="宋体"/>
          <w:b w:val="0"/>
          <w:sz w:val="24"/>
          <w:szCs w:val="24"/>
          <w:lang w:val="en-US" w:eastAsia="zh-CN"/>
        </w:rPr>
      </w:pPr>
      <w:r>
        <w:rPr>
          <w:rFonts w:eastAsia="宋体"/>
          <w:b w:val="0"/>
          <w:sz w:val="24"/>
          <w:szCs w:val="24"/>
        </w:rPr>
        <w:fldChar w:fldCharType="begin"/>
      </w:r>
      <w:r>
        <w:rPr>
          <w:rFonts w:eastAsia="宋体"/>
          <w:b w:val="0"/>
          <w:sz w:val="24"/>
          <w:szCs w:val="24"/>
        </w:rPr>
        <w:instrText xml:space="preserve"> HYPERLINK \l _Toc29784 </w:instrText>
      </w:r>
      <w:r>
        <w:rPr>
          <w:rFonts w:eastAsia="宋体"/>
          <w:b w:val="0"/>
          <w:sz w:val="24"/>
          <w:szCs w:val="24"/>
        </w:rPr>
        <w:fldChar w:fldCharType="separate"/>
      </w:r>
      <w:r>
        <w:rPr>
          <w:rFonts w:hint="eastAsia" w:eastAsia="宋体"/>
          <w:b w:val="0"/>
          <w:sz w:val="24"/>
          <w:szCs w:val="24"/>
          <w:lang w:val="en-US" w:eastAsia="zh-CN"/>
        </w:rPr>
        <w:t>7</w:t>
      </w:r>
      <w:r>
        <w:rPr>
          <w:rFonts w:eastAsia="宋体"/>
          <w:b w:val="0"/>
          <w:sz w:val="24"/>
          <w:szCs w:val="24"/>
        </w:rPr>
        <w:t xml:space="preserve">  Construction</w:t>
      </w:r>
      <w:r>
        <w:rPr>
          <w:rFonts w:eastAsia="宋体"/>
          <w:b w:val="0"/>
          <w:sz w:val="24"/>
          <w:szCs w:val="24"/>
        </w:rPr>
        <w:tab/>
      </w:r>
      <w:r>
        <w:rPr>
          <w:rFonts w:hint="eastAsia"/>
          <w:b w:val="0"/>
          <w:sz w:val="24"/>
          <w:szCs w:val="24"/>
          <w:lang w:val="en-US" w:eastAsia="zh-CN"/>
        </w:rPr>
        <w:t>1</w:t>
      </w:r>
      <w:r>
        <w:rPr>
          <w:rFonts w:eastAsia="宋体"/>
          <w:b w:val="0"/>
          <w:sz w:val="24"/>
          <w:szCs w:val="24"/>
        </w:rPr>
        <w:fldChar w:fldCharType="end"/>
      </w:r>
      <w:r>
        <w:rPr>
          <w:rFonts w:hint="eastAsia"/>
          <w:b w:val="0"/>
          <w:sz w:val="24"/>
          <w:szCs w:val="24"/>
          <w:lang w:val="en-US" w:eastAsia="zh-CN"/>
        </w:rPr>
        <w:t>2</w:t>
      </w:r>
    </w:p>
    <w:p w14:paraId="2FC4A9A3">
      <w:pPr>
        <w:pStyle w:val="12"/>
        <w:tabs>
          <w:tab w:val="right" w:leader="dot" w:pos="8306"/>
        </w:tabs>
        <w:rPr>
          <w:rFonts w:hint="eastAsia" w:eastAsia="宋体"/>
          <w:b w:val="0"/>
          <w:sz w:val="24"/>
          <w:szCs w:val="24"/>
          <w:lang w:val="en-US" w:eastAsia="zh-CN"/>
        </w:rPr>
      </w:pPr>
      <w:r>
        <w:rPr>
          <w:rFonts w:eastAsia="宋体"/>
          <w:b w:val="0"/>
          <w:sz w:val="24"/>
          <w:szCs w:val="24"/>
        </w:rPr>
        <w:fldChar w:fldCharType="begin"/>
      </w:r>
      <w:r>
        <w:rPr>
          <w:rFonts w:eastAsia="宋体"/>
          <w:b w:val="0"/>
          <w:sz w:val="24"/>
          <w:szCs w:val="24"/>
        </w:rPr>
        <w:instrText xml:space="preserve"> HYPERLINK \l _Toc19979 </w:instrText>
      </w:r>
      <w:r>
        <w:rPr>
          <w:rFonts w:eastAsia="宋体"/>
          <w:b w:val="0"/>
          <w:sz w:val="24"/>
          <w:szCs w:val="24"/>
        </w:rPr>
        <w:fldChar w:fldCharType="separate"/>
      </w:r>
      <w:r>
        <w:rPr>
          <w:rFonts w:hint="eastAsia" w:eastAsia="宋体"/>
          <w:b w:val="0"/>
          <w:sz w:val="24"/>
          <w:szCs w:val="24"/>
          <w:lang w:val="en-US" w:eastAsia="zh-CN"/>
        </w:rPr>
        <w:t>7</w:t>
      </w:r>
      <w:r>
        <w:rPr>
          <w:rFonts w:eastAsia="宋体"/>
          <w:b w:val="0"/>
          <w:sz w:val="24"/>
          <w:szCs w:val="24"/>
        </w:rPr>
        <w:t>.1  General</w:t>
      </w:r>
      <w:r>
        <w:rPr>
          <w:rFonts w:eastAsia="宋体"/>
          <w:b w:val="0"/>
          <w:sz w:val="24"/>
          <w:szCs w:val="24"/>
        </w:rPr>
        <w:tab/>
      </w:r>
      <w:r>
        <w:rPr>
          <w:rFonts w:hint="eastAsia"/>
          <w:b w:val="0"/>
          <w:sz w:val="24"/>
          <w:szCs w:val="24"/>
          <w:lang w:val="en-US" w:eastAsia="zh-CN"/>
        </w:rPr>
        <w:t>1</w:t>
      </w:r>
      <w:r>
        <w:rPr>
          <w:rFonts w:eastAsia="宋体"/>
          <w:b w:val="0"/>
          <w:sz w:val="24"/>
          <w:szCs w:val="24"/>
        </w:rPr>
        <w:fldChar w:fldCharType="end"/>
      </w:r>
      <w:r>
        <w:rPr>
          <w:rFonts w:hint="eastAsia"/>
          <w:b w:val="0"/>
          <w:sz w:val="24"/>
          <w:szCs w:val="24"/>
          <w:lang w:val="en-US" w:eastAsia="zh-CN"/>
        </w:rPr>
        <w:t>2</w:t>
      </w:r>
    </w:p>
    <w:p w14:paraId="7A856835">
      <w:pPr>
        <w:pStyle w:val="12"/>
        <w:tabs>
          <w:tab w:val="right" w:leader="dot" w:pos="8306"/>
        </w:tabs>
        <w:rPr>
          <w:rFonts w:hint="eastAsia" w:eastAsia="宋体"/>
          <w:b w:val="0"/>
          <w:sz w:val="24"/>
          <w:szCs w:val="24"/>
          <w:lang w:val="en-US" w:eastAsia="zh-CN"/>
        </w:rPr>
      </w:pPr>
      <w:r>
        <w:rPr>
          <w:rFonts w:eastAsia="宋体"/>
          <w:b w:val="0"/>
          <w:sz w:val="24"/>
          <w:szCs w:val="24"/>
        </w:rPr>
        <w:fldChar w:fldCharType="begin"/>
      </w:r>
      <w:r>
        <w:rPr>
          <w:rFonts w:eastAsia="宋体"/>
          <w:b w:val="0"/>
          <w:sz w:val="24"/>
          <w:szCs w:val="24"/>
        </w:rPr>
        <w:instrText xml:space="preserve"> HYPERLINK \l _Toc7517 </w:instrText>
      </w:r>
      <w:r>
        <w:rPr>
          <w:rFonts w:eastAsia="宋体"/>
          <w:b w:val="0"/>
          <w:sz w:val="24"/>
          <w:szCs w:val="24"/>
        </w:rPr>
        <w:fldChar w:fldCharType="separate"/>
      </w:r>
      <w:r>
        <w:rPr>
          <w:rFonts w:hint="eastAsia" w:eastAsia="宋体"/>
          <w:b w:val="0"/>
          <w:sz w:val="24"/>
          <w:szCs w:val="24"/>
          <w:lang w:val="en-US" w:eastAsia="zh-CN"/>
        </w:rPr>
        <w:t>7</w:t>
      </w:r>
      <w:r>
        <w:rPr>
          <w:rFonts w:eastAsia="宋体"/>
          <w:b w:val="0"/>
          <w:sz w:val="24"/>
          <w:szCs w:val="24"/>
        </w:rPr>
        <w:t>.</w:t>
      </w:r>
      <w:r>
        <w:rPr>
          <w:rFonts w:hint="eastAsia" w:eastAsia="宋体"/>
          <w:b w:val="0"/>
          <w:sz w:val="24"/>
          <w:szCs w:val="24"/>
        </w:rPr>
        <w:t>2</w:t>
      </w:r>
      <w:r>
        <w:rPr>
          <w:rFonts w:eastAsia="宋体"/>
          <w:b w:val="0"/>
          <w:sz w:val="24"/>
          <w:szCs w:val="24"/>
        </w:rPr>
        <w:t>  </w:t>
      </w:r>
      <w:r>
        <w:rPr>
          <w:rFonts w:hint="eastAsia" w:eastAsia="宋体"/>
          <w:b w:val="0"/>
          <w:sz w:val="24"/>
          <w:szCs w:val="24"/>
        </w:rPr>
        <w:t>Construction of Main Structure</w:t>
      </w:r>
      <w:r>
        <w:rPr>
          <w:rFonts w:eastAsia="宋体"/>
          <w:b w:val="0"/>
          <w:sz w:val="24"/>
          <w:szCs w:val="24"/>
        </w:rPr>
        <w:tab/>
      </w:r>
      <w:r>
        <w:rPr>
          <w:rFonts w:hint="eastAsia"/>
          <w:b w:val="0"/>
          <w:sz w:val="24"/>
          <w:szCs w:val="24"/>
          <w:lang w:val="en-US" w:eastAsia="zh-CN"/>
        </w:rPr>
        <w:t>1</w:t>
      </w:r>
      <w:r>
        <w:rPr>
          <w:rFonts w:eastAsia="宋体"/>
          <w:b w:val="0"/>
          <w:sz w:val="24"/>
          <w:szCs w:val="24"/>
        </w:rPr>
        <w:fldChar w:fldCharType="end"/>
      </w:r>
      <w:r>
        <w:rPr>
          <w:rFonts w:hint="eastAsia"/>
          <w:b w:val="0"/>
          <w:sz w:val="24"/>
          <w:szCs w:val="24"/>
          <w:lang w:val="en-US" w:eastAsia="zh-CN"/>
        </w:rPr>
        <w:t>3</w:t>
      </w:r>
    </w:p>
    <w:p w14:paraId="6BC9ECCF">
      <w:pPr>
        <w:pStyle w:val="12"/>
        <w:tabs>
          <w:tab w:val="right" w:leader="dot" w:pos="8306"/>
        </w:tabs>
        <w:rPr>
          <w:rFonts w:hint="eastAsia" w:eastAsia="宋体"/>
          <w:b w:val="0"/>
          <w:sz w:val="24"/>
          <w:szCs w:val="24"/>
          <w:lang w:val="en-US" w:eastAsia="zh-CN"/>
        </w:rPr>
      </w:pPr>
      <w:r>
        <w:rPr>
          <w:rFonts w:eastAsia="宋体"/>
          <w:b w:val="0"/>
          <w:sz w:val="24"/>
          <w:szCs w:val="24"/>
        </w:rPr>
        <w:fldChar w:fldCharType="begin"/>
      </w:r>
      <w:r>
        <w:rPr>
          <w:rFonts w:eastAsia="宋体"/>
          <w:b w:val="0"/>
          <w:sz w:val="24"/>
          <w:szCs w:val="24"/>
        </w:rPr>
        <w:instrText xml:space="preserve"> HYPERLINK \l _Toc7575 </w:instrText>
      </w:r>
      <w:r>
        <w:rPr>
          <w:rFonts w:eastAsia="宋体"/>
          <w:b w:val="0"/>
          <w:sz w:val="24"/>
          <w:szCs w:val="24"/>
        </w:rPr>
        <w:fldChar w:fldCharType="separate"/>
      </w:r>
      <w:r>
        <w:rPr>
          <w:rFonts w:hint="eastAsia" w:eastAsia="宋体"/>
          <w:b w:val="0"/>
          <w:sz w:val="24"/>
          <w:szCs w:val="24"/>
          <w:lang w:val="en-US" w:eastAsia="zh-CN"/>
        </w:rPr>
        <w:t>7</w:t>
      </w:r>
      <w:r>
        <w:rPr>
          <w:rFonts w:eastAsia="宋体"/>
          <w:b w:val="0"/>
          <w:sz w:val="24"/>
          <w:szCs w:val="24"/>
        </w:rPr>
        <w:t>.</w:t>
      </w:r>
      <w:r>
        <w:rPr>
          <w:rFonts w:hint="eastAsia" w:eastAsia="宋体"/>
          <w:b w:val="0"/>
          <w:sz w:val="24"/>
          <w:szCs w:val="24"/>
        </w:rPr>
        <w:t>3</w:t>
      </w:r>
      <w:r>
        <w:rPr>
          <w:rFonts w:eastAsia="宋体"/>
          <w:b w:val="0"/>
          <w:sz w:val="24"/>
          <w:szCs w:val="24"/>
        </w:rPr>
        <w:t>  </w:t>
      </w:r>
      <w:r>
        <w:rPr>
          <w:rFonts w:hint="eastAsia" w:eastAsia="宋体"/>
          <w:b w:val="0"/>
          <w:sz w:val="24"/>
          <w:szCs w:val="24"/>
        </w:rPr>
        <w:t>Construction of Stair and Foundation</w:t>
      </w:r>
      <w:r>
        <w:rPr>
          <w:rFonts w:eastAsia="宋体"/>
          <w:b w:val="0"/>
          <w:sz w:val="24"/>
          <w:szCs w:val="24"/>
        </w:rPr>
        <w:tab/>
      </w:r>
      <w:r>
        <w:rPr>
          <w:rFonts w:hint="eastAsia"/>
          <w:b w:val="0"/>
          <w:sz w:val="24"/>
          <w:szCs w:val="24"/>
          <w:lang w:val="en-US" w:eastAsia="zh-CN"/>
        </w:rPr>
        <w:t>1</w:t>
      </w:r>
      <w:r>
        <w:rPr>
          <w:rFonts w:eastAsia="宋体"/>
          <w:b w:val="0"/>
          <w:sz w:val="24"/>
          <w:szCs w:val="24"/>
        </w:rPr>
        <w:fldChar w:fldCharType="end"/>
      </w:r>
      <w:r>
        <w:rPr>
          <w:rFonts w:hint="eastAsia"/>
          <w:b w:val="0"/>
          <w:sz w:val="24"/>
          <w:szCs w:val="24"/>
          <w:lang w:val="en-US" w:eastAsia="zh-CN"/>
        </w:rPr>
        <w:t>3</w:t>
      </w:r>
    </w:p>
    <w:p w14:paraId="40813978">
      <w:pPr>
        <w:pStyle w:val="12"/>
        <w:tabs>
          <w:tab w:val="right" w:leader="dot" w:pos="8306"/>
        </w:tabs>
        <w:rPr>
          <w:rFonts w:hint="eastAsia" w:eastAsia="宋体"/>
          <w:b w:val="0"/>
          <w:sz w:val="24"/>
          <w:szCs w:val="24"/>
          <w:lang w:val="en-US" w:eastAsia="zh-CN"/>
        </w:rPr>
      </w:pPr>
      <w:r>
        <w:rPr>
          <w:rFonts w:eastAsia="宋体"/>
          <w:b w:val="0"/>
          <w:sz w:val="24"/>
          <w:szCs w:val="24"/>
        </w:rPr>
        <w:fldChar w:fldCharType="begin"/>
      </w:r>
      <w:r>
        <w:rPr>
          <w:rFonts w:eastAsia="宋体"/>
          <w:b w:val="0"/>
          <w:sz w:val="24"/>
          <w:szCs w:val="24"/>
        </w:rPr>
        <w:instrText xml:space="preserve"> HYPERLINK \l _Toc2053 </w:instrText>
      </w:r>
      <w:r>
        <w:rPr>
          <w:rFonts w:eastAsia="宋体"/>
          <w:b w:val="0"/>
          <w:sz w:val="24"/>
          <w:szCs w:val="24"/>
        </w:rPr>
        <w:fldChar w:fldCharType="separate"/>
      </w:r>
      <w:r>
        <w:rPr>
          <w:rFonts w:hint="eastAsia" w:eastAsia="宋体"/>
          <w:b w:val="0"/>
          <w:sz w:val="24"/>
          <w:szCs w:val="24"/>
          <w:lang w:val="en-US" w:eastAsia="zh-CN"/>
        </w:rPr>
        <w:t>7</w:t>
      </w:r>
      <w:r>
        <w:rPr>
          <w:rFonts w:eastAsia="宋体"/>
          <w:b w:val="0"/>
          <w:sz w:val="24"/>
          <w:szCs w:val="24"/>
        </w:rPr>
        <w:t>.</w:t>
      </w:r>
      <w:r>
        <w:rPr>
          <w:rFonts w:hint="eastAsia" w:eastAsia="宋体"/>
          <w:b w:val="0"/>
          <w:sz w:val="24"/>
          <w:szCs w:val="24"/>
        </w:rPr>
        <w:t>4</w:t>
      </w:r>
      <w:r>
        <w:rPr>
          <w:rFonts w:eastAsia="宋体"/>
          <w:b w:val="0"/>
          <w:sz w:val="24"/>
          <w:szCs w:val="24"/>
        </w:rPr>
        <w:t>  </w:t>
      </w:r>
      <w:r>
        <w:rPr>
          <w:rFonts w:hint="eastAsia" w:eastAsia="宋体"/>
          <w:b w:val="0"/>
          <w:sz w:val="24"/>
          <w:szCs w:val="24"/>
        </w:rPr>
        <w:t>Construction of Wall</w:t>
      </w:r>
      <w:r>
        <w:rPr>
          <w:rFonts w:eastAsia="宋体"/>
          <w:b w:val="0"/>
          <w:sz w:val="24"/>
          <w:szCs w:val="24"/>
        </w:rPr>
        <w:tab/>
      </w:r>
      <w:r>
        <w:rPr>
          <w:rFonts w:hint="eastAsia"/>
          <w:b w:val="0"/>
          <w:sz w:val="24"/>
          <w:szCs w:val="24"/>
          <w:lang w:val="en-US" w:eastAsia="zh-CN"/>
        </w:rPr>
        <w:t>1</w:t>
      </w:r>
      <w:r>
        <w:rPr>
          <w:rFonts w:eastAsia="宋体"/>
          <w:b w:val="0"/>
          <w:sz w:val="24"/>
          <w:szCs w:val="24"/>
        </w:rPr>
        <w:fldChar w:fldCharType="end"/>
      </w:r>
      <w:r>
        <w:rPr>
          <w:rFonts w:hint="eastAsia"/>
          <w:b w:val="0"/>
          <w:sz w:val="24"/>
          <w:szCs w:val="24"/>
          <w:lang w:val="en-US" w:eastAsia="zh-CN"/>
        </w:rPr>
        <w:t>4</w:t>
      </w:r>
    </w:p>
    <w:p w14:paraId="7E42766B">
      <w:pPr>
        <w:pStyle w:val="11"/>
        <w:tabs>
          <w:tab w:val="right" w:leader="dot" w:pos="8306"/>
        </w:tabs>
        <w:rPr>
          <w:rFonts w:hint="eastAsia" w:eastAsia="宋体"/>
          <w:b w:val="0"/>
          <w:sz w:val="24"/>
          <w:szCs w:val="24"/>
          <w:lang w:val="en-US" w:eastAsia="zh-CN"/>
        </w:rPr>
      </w:pPr>
      <w:r>
        <w:rPr>
          <w:rFonts w:eastAsia="宋体"/>
          <w:b w:val="0"/>
          <w:sz w:val="24"/>
          <w:szCs w:val="24"/>
        </w:rPr>
        <w:fldChar w:fldCharType="begin"/>
      </w:r>
      <w:r>
        <w:rPr>
          <w:rFonts w:eastAsia="宋体"/>
          <w:b w:val="0"/>
          <w:sz w:val="24"/>
          <w:szCs w:val="24"/>
        </w:rPr>
        <w:instrText xml:space="preserve"> HYPERLINK \l _Toc9818 </w:instrText>
      </w:r>
      <w:r>
        <w:rPr>
          <w:rFonts w:eastAsia="宋体"/>
          <w:b w:val="0"/>
          <w:sz w:val="24"/>
          <w:szCs w:val="24"/>
        </w:rPr>
        <w:fldChar w:fldCharType="separate"/>
      </w:r>
      <w:r>
        <w:rPr>
          <w:rFonts w:hint="eastAsia" w:eastAsia="宋体"/>
          <w:b w:val="0"/>
          <w:sz w:val="24"/>
          <w:szCs w:val="24"/>
          <w:lang w:val="en-US" w:eastAsia="zh-CN"/>
        </w:rPr>
        <w:t>8</w:t>
      </w:r>
      <w:r>
        <w:rPr>
          <w:rFonts w:eastAsia="宋体"/>
          <w:b w:val="0"/>
          <w:sz w:val="24"/>
          <w:szCs w:val="24"/>
        </w:rPr>
        <w:t xml:space="preserve">  Acceptance</w:t>
      </w:r>
      <w:r>
        <w:rPr>
          <w:rFonts w:eastAsia="宋体"/>
          <w:b w:val="0"/>
          <w:sz w:val="24"/>
          <w:szCs w:val="24"/>
        </w:rPr>
        <w:tab/>
      </w:r>
      <w:r>
        <w:rPr>
          <w:rFonts w:hint="eastAsia"/>
          <w:b w:val="0"/>
          <w:sz w:val="24"/>
          <w:szCs w:val="24"/>
          <w:lang w:val="en-US" w:eastAsia="zh-CN"/>
        </w:rPr>
        <w:t>1</w:t>
      </w:r>
      <w:r>
        <w:rPr>
          <w:rFonts w:eastAsia="宋体"/>
          <w:b w:val="0"/>
          <w:sz w:val="24"/>
          <w:szCs w:val="24"/>
        </w:rPr>
        <w:fldChar w:fldCharType="end"/>
      </w:r>
      <w:r>
        <w:rPr>
          <w:rFonts w:hint="eastAsia"/>
          <w:b w:val="0"/>
          <w:sz w:val="24"/>
          <w:szCs w:val="24"/>
          <w:lang w:val="en-US" w:eastAsia="zh-CN"/>
        </w:rPr>
        <w:t>5</w:t>
      </w:r>
    </w:p>
    <w:p w14:paraId="1243DC85">
      <w:pPr>
        <w:pStyle w:val="11"/>
        <w:tabs>
          <w:tab w:val="right" w:leader="dot" w:pos="8306"/>
        </w:tabs>
        <w:rPr>
          <w:rFonts w:hint="eastAsia" w:eastAsia="宋体"/>
          <w:b w:val="0"/>
          <w:sz w:val="24"/>
          <w:szCs w:val="24"/>
          <w:lang w:val="en-US" w:eastAsia="zh-CN"/>
        </w:rPr>
      </w:pPr>
      <w:r>
        <w:rPr>
          <w:rFonts w:eastAsia="宋体"/>
          <w:b w:val="0"/>
          <w:sz w:val="24"/>
          <w:szCs w:val="24"/>
        </w:rPr>
        <w:fldChar w:fldCharType="begin"/>
      </w:r>
      <w:r>
        <w:rPr>
          <w:rFonts w:eastAsia="宋体"/>
          <w:b w:val="0"/>
          <w:sz w:val="24"/>
          <w:szCs w:val="24"/>
        </w:rPr>
        <w:instrText xml:space="preserve"> HYPERLINK \l _Toc5549 </w:instrText>
      </w:r>
      <w:r>
        <w:rPr>
          <w:rFonts w:eastAsia="宋体"/>
          <w:b w:val="0"/>
          <w:sz w:val="24"/>
          <w:szCs w:val="24"/>
        </w:rPr>
        <w:fldChar w:fldCharType="separate"/>
      </w:r>
      <w:r>
        <w:rPr>
          <w:rFonts w:eastAsia="宋体"/>
          <w:b w:val="0"/>
          <w:sz w:val="24"/>
          <w:szCs w:val="24"/>
        </w:rPr>
        <w:t>Explanation of Wording in This Code</w:t>
      </w:r>
      <w:r>
        <w:rPr>
          <w:rFonts w:eastAsia="宋体"/>
          <w:b w:val="0"/>
          <w:sz w:val="24"/>
          <w:szCs w:val="24"/>
        </w:rPr>
        <w:tab/>
      </w:r>
      <w:r>
        <w:rPr>
          <w:rFonts w:hint="eastAsia"/>
          <w:b w:val="0"/>
          <w:sz w:val="24"/>
          <w:szCs w:val="24"/>
          <w:lang w:val="en-US" w:eastAsia="zh-CN"/>
        </w:rPr>
        <w:t>1</w:t>
      </w:r>
      <w:r>
        <w:rPr>
          <w:rFonts w:eastAsia="宋体"/>
          <w:b w:val="0"/>
          <w:sz w:val="24"/>
          <w:szCs w:val="24"/>
        </w:rPr>
        <w:fldChar w:fldCharType="end"/>
      </w:r>
      <w:r>
        <w:rPr>
          <w:rFonts w:hint="eastAsia"/>
          <w:b w:val="0"/>
          <w:sz w:val="24"/>
          <w:szCs w:val="24"/>
          <w:lang w:val="en-US" w:eastAsia="zh-CN"/>
        </w:rPr>
        <w:t>6</w:t>
      </w:r>
    </w:p>
    <w:p w14:paraId="3499A098">
      <w:pPr>
        <w:pStyle w:val="11"/>
        <w:tabs>
          <w:tab w:val="right" w:leader="dot" w:pos="8306"/>
        </w:tabs>
        <w:rPr>
          <w:rFonts w:hint="eastAsia" w:eastAsia="宋体"/>
          <w:b w:val="0"/>
          <w:sz w:val="24"/>
          <w:szCs w:val="24"/>
          <w:lang w:val="en-US" w:eastAsia="zh-CN"/>
        </w:rPr>
      </w:pPr>
      <w:r>
        <w:rPr>
          <w:rFonts w:eastAsia="宋体"/>
          <w:b w:val="0"/>
          <w:sz w:val="24"/>
          <w:szCs w:val="24"/>
        </w:rPr>
        <w:fldChar w:fldCharType="begin"/>
      </w:r>
      <w:r>
        <w:rPr>
          <w:rFonts w:eastAsia="宋体"/>
          <w:b w:val="0"/>
          <w:sz w:val="24"/>
          <w:szCs w:val="24"/>
        </w:rPr>
        <w:instrText xml:space="preserve"> HYPERLINK \l _Toc32556 </w:instrText>
      </w:r>
      <w:r>
        <w:rPr>
          <w:rFonts w:eastAsia="宋体"/>
          <w:b w:val="0"/>
          <w:sz w:val="24"/>
          <w:szCs w:val="24"/>
        </w:rPr>
        <w:fldChar w:fldCharType="separate"/>
      </w:r>
      <w:r>
        <w:rPr>
          <w:rFonts w:eastAsia="宋体"/>
          <w:b w:val="0"/>
          <w:sz w:val="24"/>
          <w:szCs w:val="24"/>
        </w:rPr>
        <w:t>List of Quoted Standards</w:t>
      </w:r>
      <w:r>
        <w:rPr>
          <w:rFonts w:eastAsia="宋体"/>
          <w:b w:val="0"/>
          <w:sz w:val="24"/>
          <w:szCs w:val="24"/>
        </w:rPr>
        <w:tab/>
      </w:r>
      <w:r>
        <w:rPr>
          <w:rFonts w:hint="eastAsia"/>
          <w:b w:val="0"/>
          <w:sz w:val="24"/>
          <w:szCs w:val="24"/>
          <w:lang w:val="en-US" w:eastAsia="zh-CN"/>
        </w:rPr>
        <w:t>1</w:t>
      </w:r>
      <w:r>
        <w:rPr>
          <w:rFonts w:eastAsia="宋体"/>
          <w:b w:val="0"/>
          <w:sz w:val="24"/>
          <w:szCs w:val="24"/>
        </w:rPr>
        <w:fldChar w:fldCharType="end"/>
      </w:r>
      <w:r>
        <w:rPr>
          <w:rFonts w:hint="eastAsia"/>
          <w:b w:val="0"/>
          <w:sz w:val="24"/>
          <w:szCs w:val="24"/>
          <w:lang w:val="en-US" w:eastAsia="zh-CN"/>
        </w:rPr>
        <w:t>7</w:t>
      </w:r>
    </w:p>
    <w:p w14:paraId="59440CF5">
      <w:pPr>
        <w:pStyle w:val="11"/>
        <w:tabs>
          <w:tab w:val="right" w:leader="dot" w:pos="8306"/>
        </w:tabs>
        <w:rPr>
          <w:rFonts w:hint="eastAsia" w:eastAsia="宋体"/>
          <w:b w:val="0"/>
          <w:sz w:val="24"/>
          <w:szCs w:val="24"/>
          <w:lang w:val="en-US" w:eastAsia="zh-CN"/>
        </w:rPr>
      </w:pPr>
      <w:r>
        <w:rPr>
          <w:rFonts w:eastAsia="宋体"/>
          <w:b w:val="0"/>
          <w:sz w:val="24"/>
          <w:szCs w:val="24"/>
        </w:rPr>
        <w:fldChar w:fldCharType="begin"/>
      </w:r>
      <w:r>
        <w:rPr>
          <w:rFonts w:eastAsia="宋体"/>
          <w:b w:val="0"/>
          <w:sz w:val="24"/>
          <w:szCs w:val="24"/>
        </w:rPr>
        <w:instrText xml:space="preserve"> HYPERLINK \l _Toc6392 </w:instrText>
      </w:r>
      <w:r>
        <w:rPr>
          <w:rFonts w:eastAsia="宋体"/>
          <w:b w:val="0"/>
          <w:sz w:val="24"/>
          <w:szCs w:val="24"/>
        </w:rPr>
        <w:fldChar w:fldCharType="separate"/>
      </w:r>
      <w:r>
        <w:rPr>
          <w:rFonts w:eastAsia="宋体"/>
          <w:b w:val="0"/>
          <w:sz w:val="24"/>
          <w:szCs w:val="24"/>
        </w:rPr>
        <w:t>Addition：Explanation of Provisions</w:t>
      </w:r>
      <w:r>
        <w:rPr>
          <w:rFonts w:eastAsia="宋体"/>
          <w:b w:val="0"/>
          <w:sz w:val="24"/>
          <w:szCs w:val="24"/>
        </w:rPr>
        <w:tab/>
      </w:r>
      <w:r>
        <w:rPr>
          <w:rFonts w:hint="eastAsia"/>
          <w:b w:val="0"/>
          <w:sz w:val="24"/>
          <w:szCs w:val="24"/>
          <w:lang w:val="en-US" w:eastAsia="zh-CN"/>
        </w:rPr>
        <w:t>1</w:t>
      </w:r>
      <w:r>
        <w:rPr>
          <w:rFonts w:eastAsia="宋体"/>
          <w:b w:val="0"/>
          <w:sz w:val="24"/>
          <w:szCs w:val="24"/>
        </w:rPr>
        <w:fldChar w:fldCharType="end"/>
      </w:r>
      <w:r>
        <w:rPr>
          <w:rFonts w:hint="eastAsia"/>
          <w:b w:val="0"/>
          <w:sz w:val="24"/>
          <w:szCs w:val="24"/>
          <w:lang w:val="en-US" w:eastAsia="zh-CN"/>
        </w:rPr>
        <w:t>9</w:t>
      </w:r>
    </w:p>
    <w:p w14:paraId="50723413">
      <w:pPr>
        <w:jc w:val="both"/>
        <w:rPr>
          <w:rFonts w:eastAsia="宋体"/>
          <w:b w:val="0"/>
          <w:sz w:val="24"/>
          <w:szCs w:val="24"/>
        </w:rPr>
        <w:sectPr>
          <w:footerReference r:id="rId8" w:type="default"/>
          <w:pgSz w:w="11906" w:h="16838"/>
          <w:pgMar w:top="1440" w:right="1800" w:bottom="1440" w:left="1800" w:header="851" w:footer="992" w:gutter="0"/>
          <w:pgNumType w:fmt="decimal" w:start="1"/>
          <w:cols w:space="720" w:num="1"/>
          <w:docGrid w:type="lines" w:linePitch="312" w:charSpace="0"/>
        </w:sectPr>
      </w:pPr>
    </w:p>
    <w:p w14:paraId="202CDD27">
      <w:pPr>
        <w:pStyle w:val="2"/>
        <w:rPr>
          <w:rStyle w:val="22"/>
          <w:b/>
        </w:rPr>
      </w:pPr>
      <w:bookmarkStart w:id="42" w:name="_Toc16572"/>
      <w:bookmarkStart w:id="43" w:name="_Toc4064"/>
      <w:bookmarkStart w:id="44" w:name="_Toc29050"/>
      <w:r>
        <w:rPr>
          <w:rFonts w:eastAsia="宋体"/>
          <w:b w:val="0"/>
          <w:sz w:val="24"/>
          <w:szCs w:val="24"/>
        </w:rPr>
        <w:fldChar w:fldCharType="end"/>
      </w:r>
      <w:bookmarkStart w:id="45" w:name="_Toc12907"/>
      <w:bookmarkStart w:id="46" w:name="_Toc174732729"/>
      <w:r>
        <w:t>1  总  则</w:t>
      </w:r>
      <w:bookmarkEnd w:id="29"/>
      <w:bookmarkEnd w:id="30"/>
      <w:bookmarkEnd w:id="42"/>
      <w:bookmarkEnd w:id="43"/>
      <w:bookmarkEnd w:id="44"/>
      <w:bookmarkEnd w:id="45"/>
      <w:bookmarkEnd w:id="46"/>
    </w:p>
    <w:p w14:paraId="622D5E2E">
      <w:pPr>
        <w:snapToGrid w:val="0"/>
      </w:pPr>
      <w:r>
        <w:rPr>
          <w:rStyle w:val="22"/>
        </w:rPr>
        <w:t>1.0.1</w:t>
      </w:r>
      <w:r>
        <w:rPr>
          <w:rFonts w:hint="eastAsia"/>
        </w:rPr>
        <w:t xml:space="preserve">  </w:t>
      </w:r>
      <w:r>
        <w:t>为</w:t>
      </w:r>
      <w:r>
        <w:rPr>
          <w:rFonts w:hint="eastAsia"/>
        </w:rPr>
        <w:t>规范四川省注仓式自保温装配式农房</w:t>
      </w:r>
      <w:r>
        <w:t>在工程中的应用，做到技术先进、安全适用、节能环保、经济合理</w:t>
      </w:r>
      <w:r>
        <w:rPr>
          <w:rFonts w:hint="eastAsia"/>
          <w:lang w:eastAsia="zh-CN"/>
        </w:rPr>
        <w:t>，</w:t>
      </w:r>
      <w:r>
        <w:t>保证质量，</w:t>
      </w:r>
      <w:r>
        <w:rPr>
          <w:rFonts w:hint="eastAsia"/>
          <w:lang w:eastAsia="zh-CN"/>
        </w:rPr>
        <w:t>制定</w:t>
      </w:r>
      <w:r>
        <w:t>本标准。</w:t>
      </w:r>
    </w:p>
    <w:p w14:paraId="2C54E5AB">
      <w:pPr>
        <w:snapToGrid w:val="0"/>
      </w:pPr>
      <w:r>
        <w:rPr>
          <w:rStyle w:val="22"/>
        </w:rPr>
        <w:t>1.0.2</w:t>
      </w:r>
      <w:r>
        <w:rPr>
          <w:rFonts w:hint="eastAsia"/>
        </w:rPr>
        <w:t xml:space="preserve">  </w:t>
      </w:r>
      <w:r>
        <w:t>本标准适用于抗震设防烈度为</w:t>
      </w:r>
      <w:r>
        <w:rPr>
          <w:rFonts w:hint="eastAsia"/>
        </w:rPr>
        <w:t>9度及以下地区</w:t>
      </w:r>
      <w:r>
        <w:t>的</w:t>
      </w:r>
      <w:r>
        <w:rPr>
          <w:rFonts w:hint="eastAsia"/>
        </w:rPr>
        <w:t>3层及3层以下层高不超过4米的注仓式自保温装配式农房</w:t>
      </w:r>
      <w:r>
        <w:t>的设计、施工及验收。</w:t>
      </w:r>
    </w:p>
    <w:p w14:paraId="16B0B26B">
      <w:pPr>
        <w:snapToGrid w:val="0"/>
      </w:pPr>
      <w:r>
        <w:rPr>
          <w:rStyle w:val="22"/>
        </w:rPr>
        <w:t>1.0.3</w:t>
      </w:r>
      <w:r>
        <w:rPr>
          <w:rFonts w:hint="eastAsia"/>
        </w:rPr>
        <w:t>  注仓式自保温装配式农房</w:t>
      </w:r>
      <w:r>
        <w:t>的设计、施工及验收除应符合本标准外，尚应符合国家现行有关标准的规定。</w:t>
      </w:r>
    </w:p>
    <w:p w14:paraId="182CBB87">
      <w:pPr>
        <w:snapToGrid w:val="0"/>
        <w:ind w:firstLine="420" w:firstLineChars="200"/>
        <w:rPr>
          <w:sz w:val="21"/>
          <w:szCs w:val="21"/>
        </w:rPr>
      </w:pPr>
    </w:p>
    <w:p w14:paraId="6E7D544C">
      <w:bookmarkStart w:id="47" w:name="_Toc174732730"/>
      <w:bookmarkStart w:id="48" w:name="_Toc27232"/>
      <w:bookmarkStart w:id="49" w:name="_Toc32049"/>
      <w:bookmarkStart w:id="50" w:name="_Toc24551"/>
      <w:bookmarkStart w:id="51" w:name="_Toc12809"/>
      <w:bookmarkStart w:id="365" w:name="_GoBack"/>
      <w:bookmarkEnd w:id="365"/>
      <w:r>
        <w:br w:type="page"/>
      </w:r>
    </w:p>
    <w:p w14:paraId="2538D20D">
      <w:pPr>
        <w:pStyle w:val="2"/>
      </w:pPr>
      <w:bookmarkStart w:id="52" w:name="_Toc16009"/>
      <w:bookmarkStart w:id="53" w:name="_Toc17740"/>
      <w:r>
        <w:t>2  术  语</w:t>
      </w:r>
      <w:bookmarkEnd w:id="47"/>
      <w:bookmarkEnd w:id="48"/>
      <w:bookmarkEnd w:id="49"/>
      <w:bookmarkEnd w:id="50"/>
      <w:bookmarkEnd w:id="51"/>
      <w:bookmarkEnd w:id="52"/>
      <w:bookmarkEnd w:id="53"/>
    </w:p>
    <w:p w14:paraId="75056267">
      <w:pPr>
        <w:snapToGrid w:val="0"/>
      </w:pPr>
      <w:r>
        <w:rPr>
          <w:rStyle w:val="22"/>
        </w:rPr>
        <w:t>2.</w:t>
      </w:r>
      <w:r>
        <w:rPr>
          <w:rStyle w:val="22"/>
          <w:rFonts w:hint="eastAsia"/>
        </w:rPr>
        <w:t>0</w:t>
      </w:r>
      <w:r>
        <w:rPr>
          <w:rStyle w:val="22"/>
        </w:rPr>
        <w:t>.1</w:t>
      </w:r>
      <w:r>
        <w:t> </w:t>
      </w:r>
      <w:r>
        <w:rPr>
          <w:rFonts w:hint="eastAsia"/>
        </w:rPr>
        <w:t xml:space="preserve"> 注仓式自保温装配式农房</w:t>
      </w:r>
      <w:r>
        <w:t xml:space="preserve"> </w:t>
      </w:r>
      <w:r>
        <w:rPr>
          <w:rFonts w:hint="eastAsia"/>
        </w:rPr>
        <w:t>low-rise assembled integrated Housing</w:t>
      </w:r>
    </w:p>
    <w:p w14:paraId="2B8EE674">
      <w:pPr>
        <w:snapToGrid w:val="0"/>
        <w:ind w:firstLine="480" w:firstLineChars="200"/>
        <w:rPr>
          <w:rStyle w:val="22"/>
        </w:rPr>
      </w:pPr>
      <w:r>
        <w:rPr>
          <w:rFonts w:hint="eastAsia"/>
        </w:rPr>
        <w:t xml:space="preserve">以钢筋混凝土框架结构和钢结构为主要体系，注仓式自保温装配集成墙体为非承重墙的低层农房。 </w:t>
      </w:r>
    </w:p>
    <w:p w14:paraId="1D5E4E4F">
      <w:pPr>
        <w:snapToGrid w:val="0"/>
        <w:rPr>
          <w:highlight w:val="yellow"/>
        </w:rPr>
      </w:pPr>
      <w:r>
        <w:rPr>
          <w:rStyle w:val="22"/>
        </w:rPr>
        <w:t>2.</w:t>
      </w:r>
      <w:r>
        <w:rPr>
          <w:rStyle w:val="22"/>
          <w:rFonts w:hint="eastAsia"/>
        </w:rPr>
        <w:t>0</w:t>
      </w:r>
      <w:r>
        <w:rPr>
          <w:rStyle w:val="22"/>
        </w:rPr>
        <w:t>.</w:t>
      </w:r>
      <w:r>
        <w:rPr>
          <w:rStyle w:val="22"/>
          <w:rFonts w:hint="eastAsia"/>
        </w:rPr>
        <w:t>2</w:t>
      </w:r>
      <w:r>
        <w:t> </w:t>
      </w:r>
      <w:r>
        <w:rPr>
          <w:rFonts w:hint="eastAsia"/>
        </w:rPr>
        <w:t xml:space="preserve"> 注仓式自保温装配集成墙体</w:t>
      </w:r>
      <w:r>
        <w:t xml:space="preserve"> </w:t>
      </w:r>
      <w:r>
        <w:rPr>
          <w:rFonts w:hint="eastAsia"/>
        </w:rPr>
        <w:t>assembled</w:t>
      </w:r>
      <w:r>
        <w:t xml:space="preserve"> composite lightweight wall</w:t>
      </w:r>
      <w:r>
        <w:rPr>
          <w:rFonts w:hint="eastAsia"/>
        </w:rPr>
        <w:t xml:space="preserve"> with cubicle casted-in-site</w:t>
      </w:r>
    </w:p>
    <w:p w14:paraId="2A21A7F9">
      <w:pPr>
        <w:snapToGrid w:val="0"/>
        <w:ind w:firstLine="480" w:firstLineChars="200"/>
        <w:rPr>
          <w:rStyle w:val="22"/>
        </w:rPr>
      </w:pPr>
      <w:r>
        <w:rPr>
          <w:rFonts w:hint="eastAsia"/>
        </w:rPr>
        <w:t>由原位装配的面板和内置保温材料及现场灌注的注仓料制成的一种新型墙体。</w:t>
      </w:r>
    </w:p>
    <w:p w14:paraId="45BF4F7A">
      <w:pPr>
        <w:snapToGrid w:val="0"/>
        <w:ind w:firstLine="480"/>
      </w:pPr>
    </w:p>
    <w:p w14:paraId="29590334">
      <w:pPr>
        <w:pStyle w:val="2"/>
      </w:pPr>
      <w:bookmarkStart w:id="54" w:name="_Toc6531"/>
      <w:bookmarkStart w:id="55" w:name="_Toc174732733"/>
      <w:bookmarkStart w:id="56" w:name="_Toc23197"/>
      <w:bookmarkStart w:id="57" w:name="_Toc32748"/>
      <w:bookmarkStart w:id="58" w:name="_Toc18412"/>
      <w:r>
        <w:br w:type="page"/>
      </w:r>
      <w:bookmarkStart w:id="59" w:name="_Toc2460"/>
      <w:bookmarkStart w:id="60" w:name="_Toc11181"/>
      <w:r>
        <w:t>3  材</w:t>
      </w:r>
      <w:r>
        <w:rPr>
          <w:rFonts w:hint="eastAsia"/>
        </w:rPr>
        <w:t xml:space="preserve">  </w:t>
      </w:r>
      <w:r>
        <w:t>料</w:t>
      </w:r>
      <w:bookmarkEnd w:id="54"/>
      <w:bookmarkEnd w:id="55"/>
      <w:bookmarkEnd w:id="56"/>
      <w:bookmarkEnd w:id="57"/>
      <w:bookmarkEnd w:id="58"/>
      <w:bookmarkEnd w:id="59"/>
      <w:bookmarkEnd w:id="60"/>
      <w:bookmarkStart w:id="61" w:name="_Toc26346"/>
      <w:bookmarkStart w:id="62" w:name="_Toc21290"/>
    </w:p>
    <w:p w14:paraId="766617AD">
      <w:pPr>
        <w:pStyle w:val="3"/>
        <w:snapToGrid w:val="0"/>
      </w:pPr>
      <w:bookmarkStart w:id="63" w:name="_Toc1446"/>
      <w:bookmarkStart w:id="64" w:name="_Toc22243"/>
      <w:bookmarkStart w:id="65" w:name="_Toc174732734"/>
      <w:bookmarkStart w:id="66" w:name="_Toc6167"/>
      <w:bookmarkStart w:id="67" w:name="_Toc21298"/>
      <w:r>
        <w:t>3.</w:t>
      </w:r>
      <w:r>
        <w:rPr>
          <w:rFonts w:hint="eastAsia"/>
        </w:rPr>
        <w:t>1</w:t>
      </w:r>
      <w:r>
        <w:t>  </w:t>
      </w:r>
      <w:bookmarkEnd w:id="7"/>
      <w:bookmarkEnd w:id="61"/>
      <w:bookmarkEnd w:id="62"/>
      <w:bookmarkEnd w:id="63"/>
      <w:bookmarkEnd w:id="64"/>
      <w:bookmarkEnd w:id="65"/>
      <w:r>
        <w:rPr>
          <w:rFonts w:hint="eastAsia"/>
        </w:rPr>
        <w:t>混凝土、钢筋和钢材</w:t>
      </w:r>
      <w:bookmarkEnd w:id="66"/>
      <w:bookmarkEnd w:id="67"/>
    </w:p>
    <w:p w14:paraId="56422E69">
      <w:pPr>
        <w:snapToGrid w:val="0"/>
      </w:pPr>
      <w:r>
        <w:rPr>
          <w:rStyle w:val="22"/>
        </w:rPr>
        <w:t>3.</w:t>
      </w:r>
      <w:r>
        <w:rPr>
          <w:rStyle w:val="22"/>
          <w:rFonts w:hint="eastAsia"/>
        </w:rPr>
        <w:t>1</w:t>
      </w:r>
      <w:r>
        <w:rPr>
          <w:rStyle w:val="22"/>
        </w:rPr>
        <w:t>.1</w:t>
      </w:r>
      <w:r>
        <w:t xml:space="preserve">  </w:t>
      </w:r>
      <w:r>
        <w:rPr>
          <w:rFonts w:hint="eastAsia"/>
        </w:rPr>
        <w:t>主体结构所用的混凝土、钢筋及钢材的力学性能指标和耐久性要求等应符合国家现行标准《混凝土结构设计标准》GB/T 50010和《钢结构设计标准》GB50017的规定。</w:t>
      </w:r>
    </w:p>
    <w:p w14:paraId="2B61645B">
      <w:pPr>
        <w:snapToGrid w:val="0"/>
      </w:pPr>
      <w:r>
        <w:rPr>
          <w:rStyle w:val="22"/>
        </w:rPr>
        <w:t>3.</w:t>
      </w:r>
      <w:r>
        <w:rPr>
          <w:rStyle w:val="22"/>
          <w:rFonts w:hint="eastAsia"/>
        </w:rPr>
        <w:t>1</w:t>
      </w:r>
      <w:r>
        <w:rPr>
          <w:rStyle w:val="22"/>
        </w:rPr>
        <w:t>.</w:t>
      </w:r>
      <w:r>
        <w:rPr>
          <w:rStyle w:val="22"/>
          <w:rFonts w:hint="eastAsia"/>
        </w:rPr>
        <w:t xml:space="preserve">2 </w:t>
      </w:r>
      <w:r>
        <w:rPr>
          <w:rFonts w:hint="eastAsia"/>
        </w:rPr>
        <w:t>注仓式自保温装配集成墙体的面板性能指标应符合现行行业标准《混凝土外墙挂板》JC/</w:t>
      </w:r>
      <w:r>
        <w:rPr>
          <w:rFonts w:hint="eastAsia"/>
          <w:lang w:eastAsia="zh-CN"/>
        </w:rPr>
        <w:t>T 2356</w:t>
      </w:r>
      <w:r>
        <w:rPr>
          <w:rFonts w:hint="eastAsia"/>
        </w:rPr>
        <w:t>的有关规定。</w:t>
      </w:r>
      <w:r>
        <w:rPr>
          <w:rFonts w:hint="eastAsia"/>
          <w:lang w:val="en-US" w:eastAsia="zh-CN"/>
        </w:rPr>
        <w:t>其</w:t>
      </w:r>
      <w:r>
        <w:rPr>
          <w:rFonts w:hint="eastAsia"/>
        </w:rPr>
        <w:t>所用混凝土和钢丝网应符合国家现行标准《混凝土结构设计标准》GB/T 50010和现行行业标准《冷拔低碳钢丝应用技术规程》JGJ 19的规定，并应满足下列要求：</w:t>
      </w:r>
    </w:p>
    <w:p w14:paraId="275526A0">
      <w:pPr>
        <w:snapToGrid w:val="0"/>
        <w:ind w:firstLine="482" w:firstLineChars="200"/>
      </w:pPr>
      <w:r>
        <w:rPr>
          <w:rFonts w:hint="eastAsia"/>
          <w:b/>
          <w:bCs/>
        </w:rPr>
        <w:t>1</w:t>
      </w:r>
      <w:r>
        <w:rPr>
          <w:b/>
          <w:bCs/>
        </w:rPr>
        <w:t xml:space="preserve">  </w:t>
      </w:r>
      <w:r>
        <w:rPr>
          <w:rFonts w:hint="eastAsia"/>
        </w:rPr>
        <w:t>混凝土强度等级不应低于C30；</w:t>
      </w:r>
    </w:p>
    <w:p w14:paraId="28C6E436">
      <w:pPr>
        <w:snapToGrid w:val="0"/>
        <w:ind w:firstLine="482" w:firstLineChars="200"/>
      </w:pPr>
      <w:r>
        <w:rPr>
          <w:rFonts w:hint="eastAsia"/>
          <w:b/>
          <w:bCs/>
        </w:rPr>
        <w:t>2</w:t>
      </w:r>
      <w:r>
        <w:rPr>
          <w:b/>
          <w:bCs/>
        </w:rPr>
        <w:t xml:space="preserve">  </w:t>
      </w:r>
      <w:r>
        <w:rPr>
          <w:rFonts w:hint="eastAsia"/>
        </w:rPr>
        <w:t>钢丝网直径宜为3</w:t>
      </w:r>
      <w:r>
        <w:rPr>
          <w:rFonts w:hint="eastAsia"/>
          <w:lang w:eastAsia="zh-CN"/>
        </w:rPr>
        <w:t>～</w:t>
      </w:r>
      <w:r>
        <w:rPr>
          <w:rFonts w:hint="eastAsia"/>
        </w:rPr>
        <w:t>4mm，其抗拉强度不应小于550MPa。</w:t>
      </w:r>
    </w:p>
    <w:p w14:paraId="528D04E8"/>
    <w:bookmarkEnd w:id="8"/>
    <w:p w14:paraId="5D6A5AEB">
      <w:pPr>
        <w:pStyle w:val="3"/>
        <w:snapToGrid w:val="0"/>
      </w:pPr>
      <w:bookmarkStart w:id="68" w:name="_Toc327"/>
      <w:bookmarkStart w:id="69" w:name="_Toc28968"/>
      <w:bookmarkStart w:id="70" w:name="_Toc20254"/>
      <w:bookmarkStart w:id="71" w:name="_Toc32625"/>
      <w:bookmarkStart w:id="72" w:name="_Toc174732735"/>
      <w:bookmarkStart w:id="73" w:name="_Toc6599"/>
      <w:bookmarkStart w:id="74" w:name="_Toc18556"/>
      <w:r>
        <w:t>3.</w:t>
      </w:r>
      <w:r>
        <w:rPr>
          <w:rFonts w:hint="eastAsia"/>
        </w:rPr>
        <w:t>2</w:t>
      </w:r>
      <w:r>
        <w:t>  </w:t>
      </w:r>
      <w:bookmarkEnd w:id="68"/>
      <w:bookmarkEnd w:id="69"/>
      <w:r>
        <w:t>注仓料</w:t>
      </w:r>
      <w:bookmarkEnd w:id="70"/>
      <w:bookmarkEnd w:id="71"/>
      <w:bookmarkEnd w:id="72"/>
      <w:r>
        <w:rPr>
          <w:rFonts w:hint="eastAsia"/>
        </w:rPr>
        <w:t>与保温材料</w:t>
      </w:r>
      <w:bookmarkEnd w:id="73"/>
      <w:bookmarkEnd w:id="74"/>
    </w:p>
    <w:p w14:paraId="614CE609">
      <w:pPr>
        <w:pStyle w:val="7"/>
        <w:keepNext w:val="0"/>
        <w:keepLines w:val="0"/>
        <w:pageBreakBefore w:val="0"/>
        <w:widowControl w:val="0"/>
        <w:kinsoku/>
        <w:wordWrap/>
        <w:overflowPunct/>
        <w:topLinePunct w:val="0"/>
        <w:autoSpaceDE/>
        <w:autoSpaceDN/>
        <w:bidi w:val="0"/>
        <w:adjustRightInd/>
        <w:snapToGrid/>
        <w:spacing w:after="0"/>
        <w:textAlignment w:val="auto"/>
      </w:pPr>
      <w:r>
        <w:rPr>
          <w:rStyle w:val="22"/>
        </w:rPr>
        <w:t>3.</w:t>
      </w:r>
      <w:r>
        <w:rPr>
          <w:rStyle w:val="22"/>
          <w:rFonts w:hint="eastAsia"/>
        </w:rPr>
        <w:t>2</w:t>
      </w:r>
      <w:r>
        <w:rPr>
          <w:rStyle w:val="22"/>
        </w:rPr>
        <w:t>.1</w:t>
      </w:r>
      <w:r>
        <w:t>  注仓料</w:t>
      </w:r>
      <w:r>
        <w:rPr>
          <w:rFonts w:hint="eastAsia"/>
        </w:rPr>
        <w:t>可</w:t>
      </w:r>
      <w:r>
        <w:t>采用</w:t>
      </w:r>
      <w:r>
        <w:rPr>
          <w:rFonts w:hint="eastAsia"/>
        </w:rPr>
        <w:t>石膏基砂浆</w:t>
      </w:r>
      <w:r>
        <w:t>、泡沫混凝土、聚苯颗粒混凝土等</w:t>
      </w:r>
      <w:r>
        <w:rPr>
          <w:rFonts w:hint="eastAsia"/>
        </w:rPr>
        <w:t>，</w:t>
      </w:r>
      <w:r>
        <w:t>应</w:t>
      </w:r>
      <w:r>
        <w:rPr>
          <w:rFonts w:hint="eastAsia"/>
        </w:rPr>
        <w:t>符合国家现行标准</w:t>
      </w:r>
      <w:r>
        <w:t>的</w:t>
      </w:r>
      <w:r>
        <w:rPr>
          <w:rFonts w:hint="eastAsia"/>
        </w:rPr>
        <w:t>规定</w:t>
      </w:r>
      <w:r>
        <w:t>。  </w:t>
      </w:r>
    </w:p>
    <w:p w14:paraId="06D770B8">
      <w:pPr>
        <w:keepNext w:val="0"/>
        <w:keepLines w:val="0"/>
        <w:pageBreakBefore w:val="0"/>
        <w:widowControl w:val="0"/>
        <w:kinsoku/>
        <w:wordWrap/>
        <w:overflowPunct/>
        <w:topLinePunct w:val="0"/>
        <w:autoSpaceDE/>
        <w:autoSpaceDN/>
        <w:bidi w:val="0"/>
        <w:adjustRightInd/>
        <w:snapToGrid/>
        <w:textAlignment w:val="auto"/>
      </w:pPr>
      <w:bookmarkStart w:id="75" w:name="_Toc2251"/>
      <w:bookmarkStart w:id="76" w:name="_Toc27681"/>
      <w:bookmarkStart w:id="77" w:name="_Toc18885"/>
      <w:bookmarkStart w:id="78" w:name="_Toc14515"/>
      <w:bookmarkStart w:id="79" w:name="_Toc15792"/>
      <w:bookmarkStart w:id="80" w:name="_Toc16862"/>
      <w:bookmarkStart w:id="81" w:name="_Toc174732737"/>
      <w:r>
        <w:rPr>
          <w:rStyle w:val="22"/>
        </w:rPr>
        <w:t>3.</w:t>
      </w:r>
      <w:r>
        <w:rPr>
          <w:rStyle w:val="22"/>
          <w:rFonts w:hint="eastAsia"/>
        </w:rPr>
        <w:t>2</w:t>
      </w:r>
      <w:r>
        <w:rPr>
          <w:rStyle w:val="22"/>
        </w:rPr>
        <w:t>.</w:t>
      </w:r>
      <w:r>
        <w:rPr>
          <w:rStyle w:val="22"/>
          <w:rFonts w:hint="eastAsia"/>
        </w:rPr>
        <w:t>2</w:t>
      </w:r>
      <w:r>
        <w:t xml:space="preserve">  </w:t>
      </w:r>
      <w:r>
        <w:rPr>
          <w:rFonts w:hint="eastAsia"/>
        </w:rPr>
        <w:t>保温材料可</w:t>
      </w:r>
      <w:r>
        <w:t>采用</w:t>
      </w:r>
      <w:r>
        <w:rPr>
          <w:rFonts w:hint="eastAsia"/>
        </w:rPr>
        <w:t>模塑聚苯乙烯泡沫塑料板</w:t>
      </w:r>
      <w:r>
        <w:t>、</w:t>
      </w:r>
      <w:r>
        <w:rPr>
          <w:rFonts w:hint="eastAsia"/>
        </w:rPr>
        <w:t>挤塑聚苯乙烯泡沫塑料板</w:t>
      </w:r>
      <w:r>
        <w:t>、硬泡聚氨酯板等，应</w:t>
      </w:r>
      <w:r>
        <w:rPr>
          <w:rFonts w:hint="eastAsia"/>
        </w:rPr>
        <w:t>符合国家现行标准</w:t>
      </w:r>
      <w:r>
        <w:t>的</w:t>
      </w:r>
      <w:r>
        <w:rPr>
          <w:rFonts w:hint="eastAsia"/>
        </w:rPr>
        <w:t>规定</w:t>
      </w:r>
      <w:r>
        <w:t>。</w:t>
      </w:r>
    </w:p>
    <w:p w14:paraId="3791D622">
      <w:pPr>
        <w:pStyle w:val="7"/>
        <w:keepNext w:val="0"/>
        <w:keepLines w:val="0"/>
        <w:pageBreakBefore w:val="0"/>
        <w:widowControl w:val="0"/>
        <w:kinsoku/>
        <w:wordWrap/>
        <w:overflowPunct/>
        <w:topLinePunct w:val="0"/>
        <w:autoSpaceDE/>
        <w:autoSpaceDN/>
        <w:bidi w:val="0"/>
        <w:adjustRightInd/>
        <w:snapToGrid/>
        <w:spacing w:after="0"/>
        <w:textAlignment w:val="auto"/>
      </w:pPr>
      <w:r>
        <w:rPr>
          <w:rStyle w:val="22"/>
        </w:rPr>
        <w:t>3.2.</w:t>
      </w:r>
      <w:r>
        <w:rPr>
          <w:rStyle w:val="22"/>
          <w:rFonts w:hint="eastAsia"/>
        </w:rPr>
        <w:t>3</w:t>
      </w:r>
      <w:r>
        <w:rPr>
          <w:rFonts w:hint="eastAsia"/>
        </w:rPr>
        <w:t xml:space="preserve"> </w:t>
      </w:r>
      <w:r>
        <w:t>当采用其他种类的</w:t>
      </w:r>
      <w:r>
        <w:rPr>
          <w:rFonts w:hint="eastAsia"/>
        </w:rPr>
        <w:t>注仓料、保温材料</w:t>
      </w:r>
      <w:r>
        <w:t>时，其性能应符合国家现行相关标准的规定。</w:t>
      </w:r>
    </w:p>
    <w:p w14:paraId="1110A667">
      <w:pPr>
        <w:pStyle w:val="3"/>
        <w:snapToGrid w:val="0"/>
      </w:pPr>
    </w:p>
    <w:p w14:paraId="74881745">
      <w:pPr>
        <w:pStyle w:val="3"/>
        <w:snapToGrid w:val="0"/>
      </w:pPr>
      <w:bookmarkStart w:id="82" w:name="_Toc4139"/>
      <w:bookmarkStart w:id="83" w:name="_Toc22684"/>
      <w:r>
        <w:t>3.</w:t>
      </w:r>
      <w:r>
        <w:rPr>
          <w:rFonts w:hint="eastAsia"/>
        </w:rPr>
        <w:t>3</w:t>
      </w:r>
      <w:r>
        <w:t>  连接</w:t>
      </w:r>
      <w:r>
        <w:rPr>
          <w:rFonts w:hint="eastAsia"/>
        </w:rPr>
        <w:t>材料</w:t>
      </w:r>
      <w:bookmarkEnd w:id="75"/>
      <w:bookmarkEnd w:id="76"/>
      <w:bookmarkEnd w:id="77"/>
      <w:bookmarkEnd w:id="78"/>
      <w:bookmarkEnd w:id="79"/>
      <w:bookmarkEnd w:id="80"/>
      <w:bookmarkEnd w:id="81"/>
      <w:bookmarkEnd w:id="82"/>
      <w:bookmarkEnd w:id="83"/>
    </w:p>
    <w:p w14:paraId="5D0C4A9A">
      <w:pPr>
        <w:snapToGrid w:val="0"/>
        <w:rPr>
          <w:rStyle w:val="22"/>
        </w:rPr>
      </w:pPr>
      <w:bookmarkStart w:id="84" w:name="_Toc19594"/>
      <w:bookmarkStart w:id="85" w:name="_Toc23828"/>
      <w:r>
        <w:rPr>
          <w:rStyle w:val="22"/>
        </w:rPr>
        <w:t>3.</w:t>
      </w:r>
      <w:r>
        <w:rPr>
          <w:rStyle w:val="22"/>
          <w:rFonts w:hint="eastAsia"/>
        </w:rPr>
        <w:t>3</w:t>
      </w:r>
      <w:r>
        <w:rPr>
          <w:rStyle w:val="22"/>
        </w:rPr>
        <w:t>.1</w:t>
      </w:r>
      <w:r>
        <w:t> </w:t>
      </w:r>
      <w:r>
        <w:rPr>
          <w:rFonts w:hint="eastAsia"/>
        </w:rPr>
        <w:t xml:space="preserve"> 钢结构连接用螺栓、锚栓、铆钉以及焊接材料应符合</w:t>
      </w:r>
      <w:r>
        <w:rPr>
          <w:rFonts w:hint="eastAsia"/>
          <w:lang w:eastAsia="zh-CN"/>
        </w:rPr>
        <w:t>现行国家标准《</w:t>
      </w:r>
      <w:r>
        <w:rPr>
          <w:rFonts w:hint="eastAsia"/>
        </w:rPr>
        <w:t>钢结构设计标准》</w:t>
      </w:r>
      <w:r>
        <w:rPr>
          <w:rFonts w:hint="eastAsia"/>
          <w:lang w:eastAsia="zh-CN"/>
        </w:rPr>
        <w:t>GB 50017</w:t>
      </w:r>
      <w:r>
        <w:rPr>
          <w:rFonts w:hint="eastAsia"/>
        </w:rPr>
        <w:t>、</w:t>
      </w:r>
      <w:r>
        <w:rPr>
          <w:rFonts w:hint="eastAsia"/>
          <w:lang w:eastAsia="zh-CN"/>
        </w:rPr>
        <w:t>现行国家标准《</w:t>
      </w:r>
      <w:r>
        <w:rPr>
          <w:rFonts w:hint="eastAsia"/>
        </w:rPr>
        <w:t>钢结构焊接规范》GB 50661以及</w:t>
      </w:r>
      <w:r>
        <w:rPr>
          <w:rFonts w:hint="eastAsia"/>
          <w:lang w:eastAsia="zh-CN"/>
        </w:rPr>
        <w:t>现行行业标准《</w:t>
      </w:r>
      <w:r>
        <w:rPr>
          <w:rFonts w:hint="eastAsia"/>
        </w:rPr>
        <w:t>钢筋焊接及验收规程》JGJ 18的有关规定。</w:t>
      </w:r>
    </w:p>
    <w:p w14:paraId="45776F4D">
      <w:pPr>
        <w:snapToGrid w:val="0"/>
      </w:pPr>
      <w:r>
        <w:rPr>
          <w:rStyle w:val="22"/>
        </w:rPr>
        <w:t>3.</w:t>
      </w:r>
      <w:r>
        <w:rPr>
          <w:rStyle w:val="22"/>
          <w:rFonts w:hint="eastAsia"/>
        </w:rPr>
        <w:t>3</w:t>
      </w:r>
      <w:r>
        <w:rPr>
          <w:rStyle w:val="22"/>
        </w:rPr>
        <w:t>.</w:t>
      </w:r>
      <w:r>
        <w:rPr>
          <w:rStyle w:val="22"/>
          <w:rFonts w:hint="eastAsia"/>
        </w:rPr>
        <w:t>2</w:t>
      </w:r>
      <w:r>
        <w:t> </w:t>
      </w:r>
      <w:r>
        <w:rPr>
          <w:rFonts w:hint="eastAsia"/>
        </w:rPr>
        <w:t xml:space="preserve"> 注仓式自保温装配集成墙体</w:t>
      </w:r>
      <w:r>
        <w:t>用</w:t>
      </w:r>
      <w:r>
        <w:rPr>
          <w:rFonts w:hint="eastAsia"/>
        </w:rPr>
        <w:t>连接件</w:t>
      </w:r>
      <w:r>
        <w:t>应符合下列规定：</w:t>
      </w:r>
    </w:p>
    <w:p w14:paraId="7287DE63">
      <w:pPr>
        <w:snapToGrid w:val="0"/>
        <w:ind w:firstLine="482" w:firstLineChars="200"/>
      </w:pPr>
      <w:r>
        <w:rPr>
          <w:b/>
          <w:bCs/>
        </w:rPr>
        <w:t xml:space="preserve">1  </w:t>
      </w:r>
      <w:r>
        <w:t>连接件</w:t>
      </w:r>
      <w:r>
        <w:rPr>
          <w:rFonts w:hint="eastAsia"/>
        </w:rPr>
        <w:t>采用</w:t>
      </w:r>
      <w:r>
        <w:t>热镀锌和锌合金镀层的钢带及钢板</w:t>
      </w:r>
      <w:r>
        <w:rPr>
          <w:rFonts w:hint="eastAsia"/>
        </w:rPr>
        <w:t>时</w:t>
      </w:r>
      <w:r>
        <w:t>，</w:t>
      </w:r>
      <w:r>
        <w:rPr>
          <w:rFonts w:hint="eastAsia"/>
        </w:rPr>
        <w:t>其性能</w:t>
      </w:r>
      <w:r>
        <w:t>应符合现行国家标准《连续热镀锌和锌合金镀层钢板及钢带》GB/T 2518</w:t>
      </w:r>
      <w:r>
        <w:rPr>
          <w:rFonts w:hint="eastAsia"/>
        </w:rPr>
        <w:t>的规定；</w:t>
      </w:r>
    </w:p>
    <w:p w14:paraId="01DC2014">
      <w:pPr>
        <w:snapToGrid w:val="0"/>
        <w:ind w:firstLine="482" w:firstLineChars="200"/>
      </w:pPr>
      <w:r>
        <w:rPr>
          <w:b/>
          <w:bCs/>
        </w:rPr>
        <w:t>2</w:t>
      </w:r>
      <w:r>
        <w:t xml:space="preserve">  连接件采用镀锌铝镁的钢带及钢板</w:t>
      </w:r>
      <w:r>
        <w:rPr>
          <w:rFonts w:hint="eastAsia"/>
        </w:rPr>
        <w:t>时</w:t>
      </w:r>
      <w:r>
        <w:t>，</w:t>
      </w:r>
      <w:r>
        <w:rPr>
          <w:rFonts w:hint="eastAsia"/>
        </w:rPr>
        <w:t>其性能应</w:t>
      </w:r>
      <w:r>
        <w:t>符合现行行业标准《连续热镀铝锌镁合金镀层钢板及钢带》YB/T 4634</w:t>
      </w:r>
      <w:r>
        <w:rPr>
          <w:rFonts w:hint="eastAsia"/>
        </w:rPr>
        <w:t>的规定；</w:t>
      </w:r>
    </w:p>
    <w:p w14:paraId="0312246F">
      <w:pPr>
        <w:snapToGrid w:val="0"/>
        <w:ind w:firstLine="482" w:firstLineChars="200"/>
        <w:rPr>
          <w:rFonts w:hint="eastAsia" w:eastAsia="宋体"/>
          <w:lang w:eastAsia="zh-CN"/>
        </w:rPr>
      </w:pPr>
      <w:r>
        <w:rPr>
          <w:b/>
          <w:bCs/>
        </w:rPr>
        <w:t>3</w:t>
      </w:r>
      <w:r>
        <w:t xml:space="preserve">  连接件所用钢材牌号不应低于S350GD</w:t>
      </w:r>
      <w:r>
        <w:rPr>
          <w:rFonts w:hint="eastAsia"/>
          <w:lang w:eastAsia="zh-CN"/>
        </w:rPr>
        <w:t>；</w:t>
      </w:r>
    </w:p>
    <w:p w14:paraId="48AA3110">
      <w:pPr>
        <w:snapToGrid w:val="0"/>
        <w:ind w:firstLine="482" w:firstLineChars="200"/>
      </w:pPr>
      <w:r>
        <w:rPr>
          <w:b/>
          <w:bCs/>
        </w:rPr>
        <w:t>4</w:t>
      </w:r>
      <w:r>
        <w:t xml:space="preserve">  连接件板厚度不应</w:t>
      </w:r>
      <w:r>
        <w:rPr>
          <w:rFonts w:hint="eastAsia"/>
        </w:rPr>
        <w:t>小</w:t>
      </w:r>
      <w:r>
        <w:t>于2.0mm。</w:t>
      </w:r>
    </w:p>
    <w:p w14:paraId="50AABC67">
      <w:pPr>
        <w:snapToGrid w:val="0"/>
      </w:pPr>
      <w:r>
        <w:rPr>
          <w:rStyle w:val="22"/>
        </w:rPr>
        <w:t>3.</w:t>
      </w:r>
      <w:r>
        <w:rPr>
          <w:rStyle w:val="22"/>
          <w:rFonts w:hint="eastAsia"/>
        </w:rPr>
        <w:t>3</w:t>
      </w:r>
      <w:r>
        <w:rPr>
          <w:rStyle w:val="22"/>
        </w:rPr>
        <w:t>.</w:t>
      </w:r>
      <w:r>
        <w:rPr>
          <w:rStyle w:val="22"/>
          <w:rFonts w:hint="eastAsia"/>
        </w:rPr>
        <w:t>3</w:t>
      </w:r>
      <w:r>
        <w:t xml:space="preserve"> </w:t>
      </w:r>
      <w:r>
        <w:rPr>
          <w:rFonts w:hint="eastAsia"/>
        </w:rPr>
        <w:t>注仓式自保温装配集成墙体</w:t>
      </w:r>
      <w:r>
        <w:t>用锚栓</w:t>
      </w:r>
      <w:r>
        <w:rPr>
          <w:rFonts w:hint="eastAsia"/>
        </w:rPr>
        <w:t>、自攻螺钉和射钉的选用和性能</w:t>
      </w:r>
      <w:r>
        <w:t>应符合现行行业标准《混凝土结构后锚固技术规程》JGJ 145</w:t>
      </w:r>
      <w:r>
        <w:rPr>
          <w:rFonts w:hint="eastAsia"/>
        </w:rPr>
        <w:t>和现行国家标准</w:t>
      </w:r>
      <w:r>
        <w:rPr>
          <w:rStyle w:val="22"/>
          <w:b w:val="0"/>
        </w:rPr>
        <w:t>《六角法兰面自钻自攻螺钉》GB/T 15856.4</w:t>
      </w:r>
      <w:r>
        <w:rPr>
          <w:rStyle w:val="22"/>
          <w:rFonts w:hint="eastAsia"/>
          <w:b w:val="0"/>
        </w:rPr>
        <w:t>、</w:t>
      </w:r>
      <w:r>
        <w:rPr>
          <w:rStyle w:val="22"/>
          <w:b w:val="0"/>
        </w:rPr>
        <w:t>《六角头自攻螺钉》GB/T 5285</w:t>
      </w:r>
      <w:r>
        <w:rPr>
          <w:rStyle w:val="22"/>
          <w:rFonts w:hint="eastAsia"/>
          <w:b w:val="0"/>
        </w:rPr>
        <w:t>和</w:t>
      </w:r>
      <w:r>
        <w:t>《射钉》GB/T 18981的规定</w:t>
      </w:r>
      <w:r>
        <w:rPr>
          <w:rFonts w:hint="eastAsia"/>
        </w:rPr>
        <w:t>，并应满足下列要求：</w:t>
      </w:r>
    </w:p>
    <w:p w14:paraId="62B6DA63">
      <w:pPr>
        <w:snapToGrid w:val="0"/>
        <w:ind w:firstLine="482" w:firstLineChars="200"/>
      </w:pPr>
      <w:r>
        <w:rPr>
          <w:rFonts w:hint="eastAsia"/>
          <w:b/>
          <w:bCs/>
        </w:rPr>
        <w:t>1</w:t>
      </w:r>
      <w:r>
        <w:rPr>
          <w:b/>
          <w:bCs/>
        </w:rPr>
        <w:t xml:space="preserve">  </w:t>
      </w:r>
      <w:r>
        <w:t>锚栓性能等级</w:t>
      </w:r>
      <w:r>
        <w:rPr>
          <w:rFonts w:hint="eastAsia"/>
        </w:rPr>
        <w:t>不应</w:t>
      </w:r>
      <w:r>
        <w:t>小于</w:t>
      </w:r>
      <w:r>
        <w:rPr>
          <w:rFonts w:hint="eastAsia"/>
        </w:rPr>
        <w:t>4.6</w:t>
      </w:r>
      <w:r>
        <w:t>级</w:t>
      </w:r>
      <w:r>
        <w:rPr>
          <w:rFonts w:hint="eastAsia"/>
        </w:rPr>
        <w:t>，直径不应小于8mm；</w:t>
      </w:r>
    </w:p>
    <w:p w14:paraId="60F721A7">
      <w:pPr>
        <w:snapToGrid w:val="0"/>
        <w:ind w:firstLine="482" w:firstLineChars="200"/>
        <w:rPr>
          <w:rStyle w:val="22"/>
          <w:b w:val="0"/>
        </w:rPr>
      </w:pPr>
      <w:r>
        <w:rPr>
          <w:rFonts w:hint="eastAsia"/>
          <w:b/>
          <w:bCs/>
        </w:rPr>
        <w:t>2</w:t>
      </w:r>
      <w:r>
        <w:rPr>
          <w:b/>
          <w:bCs/>
        </w:rPr>
        <w:t xml:space="preserve">  </w:t>
      </w:r>
      <w:r>
        <w:rPr>
          <w:rStyle w:val="22"/>
          <w:b w:val="0"/>
        </w:rPr>
        <w:t>自攻螺钉</w:t>
      </w:r>
      <w:r>
        <w:rPr>
          <w:rStyle w:val="22"/>
          <w:rFonts w:hint="eastAsia"/>
          <w:b w:val="0"/>
        </w:rPr>
        <w:t>的规格</w:t>
      </w:r>
      <w:r>
        <w:rPr>
          <w:rFonts w:hint="eastAsia"/>
        </w:rPr>
        <w:t>不应小于ST4.8；</w:t>
      </w:r>
    </w:p>
    <w:p w14:paraId="4C827DDD">
      <w:pPr>
        <w:snapToGrid w:val="0"/>
        <w:ind w:firstLine="482" w:firstLineChars="200"/>
      </w:pPr>
      <w:r>
        <w:rPr>
          <w:rFonts w:hint="eastAsia"/>
          <w:b/>
          <w:bCs/>
        </w:rPr>
        <w:t>3</w:t>
      </w:r>
      <w:r>
        <w:rPr>
          <w:b/>
          <w:bCs/>
        </w:rPr>
        <w:t xml:space="preserve">  </w:t>
      </w:r>
      <w:r>
        <w:t>射钉表面应镀锌、钝化，</w:t>
      </w:r>
      <w:r>
        <w:rPr>
          <w:rFonts w:hint="eastAsia"/>
        </w:rPr>
        <w:t>其直径不应小于3mm</w:t>
      </w:r>
      <w:r>
        <w:t>。</w:t>
      </w:r>
    </w:p>
    <w:p w14:paraId="211D8BF0">
      <w:pPr>
        <w:pStyle w:val="2"/>
      </w:pPr>
      <w:bookmarkStart w:id="86" w:name="_Toc1461"/>
      <w:bookmarkStart w:id="87" w:name="_Toc20739"/>
      <w:bookmarkStart w:id="88" w:name="_Toc24310"/>
      <w:bookmarkStart w:id="89" w:name="_Toc174732739"/>
      <w:bookmarkStart w:id="90" w:name="_Toc6407"/>
      <w:r>
        <w:br w:type="page"/>
      </w:r>
      <w:bookmarkStart w:id="91" w:name="_Toc18014"/>
      <w:bookmarkStart w:id="92" w:name="_Toc10600"/>
      <w:r>
        <w:t xml:space="preserve">4  </w:t>
      </w:r>
      <w:r>
        <w:rPr>
          <w:rFonts w:hint="eastAsia"/>
        </w:rPr>
        <w:t>建筑</w:t>
      </w:r>
      <w:r>
        <w:t>设计</w:t>
      </w:r>
      <w:bookmarkEnd w:id="86"/>
      <w:bookmarkEnd w:id="87"/>
      <w:bookmarkEnd w:id="88"/>
      <w:bookmarkEnd w:id="89"/>
      <w:bookmarkEnd w:id="90"/>
      <w:bookmarkEnd w:id="91"/>
      <w:bookmarkEnd w:id="92"/>
      <w:bookmarkStart w:id="93" w:name="_Toc20621"/>
      <w:bookmarkStart w:id="94" w:name="_Toc25415"/>
    </w:p>
    <w:p w14:paraId="4B1A6B46">
      <w:pPr>
        <w:pStyle w:val="3"/>
        <w:snapToGrid w:val="0"/>
      </w:pPr>
      <w:bookmarkStart w:id="95" w:name="_Toc23682"/>
      <w:bookmarkStart w:id="96" w:name="_Toc2195"/>
      <w:bookmarkStart w:id="97" w:name="_Toc174732740"/>
      <w:bookmarkStart w:id="98" w:name="_Toc21343"/>
      <w:bookmarkStart w:id="99" w:name="_Toc6149"/>
      <w:r>
        <w:t>4.1  一般规定</w:t>
      </w:r>
      <w:bookmarkEnd w:id="84"/>
      <w:bookmarkEnd w:id="85"/>
      <w:bookmarkEnd w:id="93"/>
      <w:bookmarkEnd w:id="94"/>
      <w:bookmarkEnd w:id="95"/>
      <w:bookmarkEnd w:id="96"/>
      <w:bookmarkEnd w:id="97"/>
      <w:bookmarkEnd w:id="98"/>
      <w:bookmarkEnd w:id="99"/>
    </w:p>
    <w:p w14:paraId="16EF7A18">
      <w:pPr>
        <w:snapToGrid w:val="0"/>
      </w:pPr>
      <w:bookmarkStart w:id="100" w:name="_Toc10569"/>
      <w:bookmarkStart w:id="101" w:name="_Toc14731"/>
      <w:bookmarkStart w:id="102" w:name="_Toc174732744"/>
      <w:bookmarkStart w:id="103" w:name="_Toc12507"/>
      <w:bookmarkStart w:id="104" w:name="_Toc17169"/>
      <w:r>
        <w:rPr>
          <w:rStyle w:val="22"/>
        </w:rPr>
        <w:t>4.1.1</w:t>
      </w:r>
      <w:r>
        <w:t> </w:t>
      </w:r>
      <w:r>
        <w:rPr>
          <w:rFonts w:hint="eastAsia"/>
        </w:rPr>
        <w:t xml:space="preserve"> 注仓式自保温装配式农房</w:t>
      </w:r>
      <w:r>
        <w:rPr>
          <w:rFonts w:hint="eastAsia"/>
          <w:lang w:val="en-US" w:eastAsia="zh-CN"/>
        </w:rPr>
        <w:t>建筑设计</w:t>
      </w:r>
      <w:r>
        <w:rPr>
          <w:rFonts w:hint="eastAsia"/>
        </w:rPr>
        <w:t>应符合国家现行标准《住宅设计规范》GB</w:t>
      </w:r>
      <w:r>
        <w:rPr>
          <w:rFonts w:hint="eastAsia"/>
          <w:lang w:val="en-US" w:eastAsia="zh-CN"/>
        </w:rPr>
        <w:t xml:space="preserve"> </w:t>
      </w:r>
      <w:r>
        <w:rPr>
          <w:rFonts w:hint="eastAsia"/>
        </w:rPr>
        <w:t>50096和《住宅建筑规范》GB 50368的规定。</w:t>
      </w:r>
    </w:p>
    <w:p w14:paraId="7C500274">
      <w:pPr>
        <w:snapToGrid w:val="0"/>
        <w:rPr>
          <w:rFonts w:hint="eastAsia"/>
        </w:rPr>
      </w:pPr>
      <w:r>
        <w:rPr>
          <w:rStyle w:val="22"/>
        </w:rPr>
        <w:t>4.1.</w:t>
      </w:r>
      <w:r>
        <w:rPr>
          <w:rStyle w:val="22"/>
          <w:rFonts w:hint="eastAsia"/>
        </w:rPr>
        <w:t>2</w:t>
      </w:r>
      <w:r>
        <w:t xml:space="preserve">  </w:t>
      </w:r>
      <w:r>
        <w:rPr>
          <w:rFonts w:hint="eastAsia"/>
        </w:rPr>
        <w:t>注仓式自保温装配式农房应按照集成设计原则，将建筑与结构、给排水、暖通、电气、智能化和燃气等</w:t>
      </w:r>
      <w:r>
        <w:rPr>
          <w:rFonts w:hint="eastAsia"/>
          <w:lang w:eastAsia="zh-CN"/>
        </w:rPr>
        <w:t>专业</w:t>
      </w:r>
      <w:r>
        <w:rPr>
          <w:rFonts w:hint="eastAsia"/>
        </w:rPr>
        <w:t>进行协同设计，做到设计合理，技术先进。</w:t>
      </w:r>
    </w:p>
    <w:p w14:paraId="7BDF0803">
      <w:pPr>
        <w:snapToGrid w:val="0"/>
        <w:rPr>
          <w:color w:val="auto"/>
        </w:rPr>
      </w:pPr>
      <w:r>
        <w:rPr>
          <w:rStyle w:val="22"/>
        </w:rPr>
        <w:t>4.</w:t>
      </w:r>
      <w:r>
        <w:rPr>
          <w:rStyle w:val="22"/>
          <w:rFonts w:hint="eastAsia"/>
          <w:lang w:val="en-US" w:eastAsia="zh-CN"/>
        </w:rPr>
        <w:t>1</w:t>
      </w:r>
      <w:r>
        <w:rPr>
          <w:rStyle w:val="22"/>
        </w:rPr>
        <w:t>.</w:t>
      </w:r>
      <w:r>
        <w:rPr>
          <w:rStyle w:val="22"/>
          <w:rFonts w:hint="eastAsia"/>
          <w:lang w:val="en-US" w:eastAsia="zh-CN"/>
        </w:rPr>
        <w:t>3</w:t>
      </w:r>
      <w:r>
        <w:t> </w:t>
      </w:r>
      <w:r>
        <w:rPr>
          <w:rFonts w:hint="eastAsia"/>
        </w:rPr>
        <w:t xml:space="preserve"> 注仓式自保温装配式农房应符合国家和地方现行标准对建筑适用性能、</w:t>
      </w:r>
      <w:r>
        <w:rPr>
          <w:rFonts w:hint="eastAsia"/>
          <w:color w:val="auto"/>
        </w:rPr>
        <w:t>安全性能、环境性能、经济性能、耐久性能等</w:t>
      </w:r>
      <w:r>
        <w:rPr>
          <w:rFonts w:hint="eastAsia"/>
          <w:color w:val="auto"/>
          <w:lang w:eastAsia="zh-CN"/>
        </w:rPr>
        <w:t>方面的综合</w:t>
      </w:r>
      <w:r>
        <w:rPr>
          <w:rFonts w:hint="eastAsia"/>
          <w:color w:val="auto"/>
        </w:rPr>
        <w:t>规定，以提高建筑性能和质量。</w:t>
      </w:r>
    </w:p>
    <w:p w14:paraId="48304A03">
      <w:pPr>
        <w:snapToGrid w:val="0"/>
        <w:rPr>
          <w:rFonts w:hint="eastAsia"/>
          <w:color w:val="auto"/>
        </w:rPr>
      </w:pPr>
    </w:p>
    <w:p w14:paraId="2EDEB951">
      <w:pPr>
        <w:pStyle w:val="3"/>
        <w:snapToGrid w:val="0"/>
        <w:rPr>
          <w:color w:val="auto"/>
        </w:rPr>
      </w:pPr>
      <w:bookmarkStart w:id="105" w:name="_Toc15265"/>
      <w:bookmarkStart w:id="106" w:name="_Toc8519"/>
      <w:r>
        <w:rPr>
          <w:color w:val="auto"/>
        </w:rPr>
        <w:t>4.</w:t>
      </w:r>
      <w:r>
        <w:rPr>
          <w:rFonts w:hint="eastAsia"/>
          <w:color w:val="auto"/>
        </w:rPr>
        <w:t>2</w:t>
      </w:r>
      <w:r>
        <w:rPr>
          <w:color w:val="auto"/>
        </w:rPr>
        <w:t>  </w:t>
      </w:r>
      <w:r>
        <w:rPr>
          <w:rFonts w:hint="eastAsia"/>
          <w:color w:val="auto"/>
        </w:rPr>
        <w:t>建筑性能</w:t>
      </w:r>
      <w:bookmarkEnd w:id="105"/>
      <w:bookmarkEnd w:id="106"/>
    </w:p>
    <w:p w14:paraId="60739DBE">
      <w:pPr>
        <w:rPr>
          <w:color w:val="auto"/>
        </w:rPr>
      </w:pPr>
      <w:r>
        <w:rPr>
          <w:rStyle w:val="22"/>
          <w:color w:val="auto"/>
        </w:rPr>
        <w:t>4.</w:t>
      </w:r>
      <w:r>
        <w:rPr>
          <w:rStyle w:val="22"/>
          <w:rFonts w:hint="eastAsia"/>
          <w:color w:val="auto"/>
        </w:rPr>
        <w:t>2</w:t>
      </w:r>
      <w:r>
        <w:rPr>
          <w:rStyle w:val="22"/>
          <w:color w:val="auto"/>
        </w:rPr>
        <w:t>.</w:t>
      </w:r>
      <w:r>
        <w:rPr>
          <w:rStyle w:val="22"/>
          <w:rFonts w:hint="eastAsia"/>
          <w:color w:val="auto"/>
          <w:lang w:val="en-US" w:eastAsia="zh-CN"/>
        </w:rPr>
        <w:t>1</w:t>
      </w:r>
      <w:r>
        <w:rPr>
          <w:color w:val="auto"/>
        </w:rPr>
        <w:t> </w:t>
      </w:r>
      <w:r>
        <w:rPr>
          <w:rFonts w:hint="eastAsia"/>
          <w:color w:val="auto"/>
        </w:rPr>
        <w:t xml:space="preserve"> 注仓式自保温装配式农房的防火设计</w:t>
      </w:r>
      <w:r>
        <w:rPr>
          <w:color w:val="auto"/>
        </w:rPr>
        <w:t>应符合</w:t>
      </w:r>
      <w:r>
        <w:rPr>
          <w:rFonts w:hint="eastAsia"/>
          <w:color w:val="auto"/>
        </w:rPr>
        <w:t>现行国家标准</w:t>
      </w:r>
      <w:r>
        <w:rPr>
          <w:rFonts w:hint="eastAsia"/>
          <w:color w:val="auto"/>
          <w:lang w:eastAsia="zh-CN"/>
        </w:rPr>
        <w:t>《</w:t>
      </w:r>
      <w:r>
        <w:rPr>
          <w:rFonts w:hint="eastAsia"/>
          <w:color w:val="auto"/>
          <w:lang w:val="en-US" w:eastAsia="zh-CN"/>
        </w:rPr>
        <w:t>建筑防火通用规范》GB 55037、</w:t>
      </w:r>
      <w:r>
        <w:rPr>
          <w:color w:val="auto"/>
        </w:rPr>
        <w:t>《建筑设计防火规范》GB 50016</w:t>
      </w:r>
      <w:r>
        <w:rPr>
          <w:rFonts w:hint="eastAsia"/>
          <w:color w:val="auto"/>
          <w:lang w:val="en-US" w:eastAsia="zh-CN"/>
        </w:rPr>
        <w:t>和《农村防火规范》GB 55039</w:t>
      </w:r>
      <w:r>
        <w:rPr>
          <w:color w:val="auto"/>
        </w:rPr>
        <w:t>的规定</w:t>
      </w:r>
      <w:r>
        <w:rPr>
          <w:rFonts w:hint="eastAsia"/>
          <w:color w:val="auto"/>
        </w:rPr>
        <w:t>。</w:t>
      </w:r>
    </w:p>
    <w:p w14:paraId="6F94ADA7">
      <w:pPr>
        <w:rPr>
          <w:color w:val="auto"/>
        </w:rPr>
      </w:pPr>
      <w:r>
        <w:rPr>
          <w:rStyle w:val="22"/>
          <w:color w:val="auto"/>
        </w:rPr>
        <w:t>4.</w:t>
      </w:r>
      <w:r>
        <w:rPr>
          <w:rStyle w:val="22"/>
          <w:rFonts w:hint="eastAsia"/>
          <w:color w:val="auto"/>
        </w:rPr>
        <w:t>2</w:t>
      </w:r>
      <w:r>
        <w:rPr>
          <w:rStyle w:val="22"/>
          <w:color w:val="auto"/>
        </w:rPr>
        <w:t>.</w:t>
      </w:r>
      <w:r>
        <w:rPr>
          <w:rStyle w:val="22"/>
          <w:rFonts w:hint="eastAsia"/>
          <w:color w:val="auto"/>
          <w:lang w:val="en-US" w:eastAsia="zh-CN"/>
        </w:rPr>
        <w:t>2</w:t>
      </w:r>
      <w:r>
        <w:rPr>
          <w:color w:val="auto"/>
        </w:rPr>
        <w:t> </w:t>
      </w:r>
      <w:r>
        <w:rPr>
          <w:rFonts w:hint="eastAsia"/>
          <w:color w:val="auto"/>
        </w:rPr>
        <w:t xml:space="preserve"> 注仓式自保温装配式农房的节能设计</w:t>
      </w:r>
      <w:r>
        <w:rPr>
          <w:color w:val="auto"/>
        </w:rPr>
        <w:t>应符合</w:t>
      </w:r>
      <w:r>
        <w:rPr>
          <w:rFonts w:hint="eastAsia"/>
          <w:color w:val="auto"/>
        </w:rPr>
        <w:t>现行国家标准</w:t>
      </w:r>
      <w:r>
        <w:rPr>
          <w:rFonts w:hint="eastAsia"/>
          <w:color w:val="auto"/>
          <w:lang w:val="en-US" w:eastAsia="zh-CN"/>
        </w:rPr>
        <w:t>《建筑节能与可再生能源利用通用规范》GB 55015、</w:t>
      </w:r>
      <w:r>
        <w:rPr>
          <w:rFonts w:hint="eastAsia"/>
          <w:color w:val="auto"/>
        </w:rPr>
        <w:t>《民用建筑热工设计规范》GB 50176以及现行地方标准《四川省居住建筑节能设计标准》DBJ 51/</w:t>
      </w:r>
      <w:r>
        <w:rPr>
          <w:rFonts w:hint="eastAsia"/>
          <w:color w:val="auto"/>
          <w:lang w:eastAsia="zh-CN"/>
        </w:rPr>
        <w:t>T 5027等有关规定</w:t>
      </w:r>
      <w:r>
        <w:rPr>
          <w:rFonts w:hint="eastAsia"/>
          <w:color w:val="auto"/>
        </w:rPr>
        <w:t>。</w:t>
      </w:r>
    </w:p>
    <w:p w14:paraId="47C5158F">
      <w:pPr>
        <w:rPr>
          <w:color w:val="auto"/>
        </w:rPr>
      </w:pPr>
      <w:r>
        <w:rPr>
          <w:rStyle w:val="22"/>
          <w:color w:val="auto"/>
        </w:rPr>
        <w:t>4.</w:t>
      </w:r>
      <w:r>
        <w:rPr>
          <w:rStyle w:val="22"/>
          <w:rFonts w:hint="eastAsia"/>
          <w:color w:val="auto"/>
        </w:rPr>
        <w:t>2</w:t>
      </w:r>
      <w:r>
        <w:rPr>
          <w:rStyle w:val="22"/>
          <w:color w:val="auto"/>
        </w:rPr>
        <w:t>.</w:t>
      </w:r>
      <w:r>
        <w:rPr>
          <w:rStyle w:val="22"/>
          <w:rFonts w:hint="eastAsia"/>
          <w:color w:val="auto"/>
          <w:lang w:val="en-US" w:eastAsia="zh-CN"/>
        </w:rPr>
        <w:t>3</w:t>
      </w:r>
      <w:r>
        <w:rPr>
          <w:color w:val="auto"/>
        </w:rPr>
        <w:t> </w:t>
      </w:r>
      <w:r>
        <w:rPr>
          <w:rFonts w:hint="eastAsia"/>
          <w:color w:val="auto"/>
        </w:rPr>
        <w:t xml:space="preserve"> 注仓式自保温装配式农房的隔声设计</w:t>
      </w:r>
      <w:r>
        <w:rPr>
          <w:color w:val="auto"/>
        </w:rPr>
        <w:t>应符合</w:t>
      </w:r>
      <w:r>
        <w:rPr>
          <w:rFonts w:hint="eastAsia"/>
          <w:color w:val="auto"/>
        </w:rPr>
        <w:t>现行国家标准</w:t>
      </w:r>
      <w:r>
        <w:rPr>
          <w:rFonts w:hint="eastAsia"/>
          <w:color w:val="auto"/>
          <w:lang w:val="en-US" w:eastAsia="zh-CN"/>
        </w:rPr>
        <w:t>《建筑环境通用规范》GB 55016、</w:t>
      </w:r>
      <w:r>
        <w:rPr>
          <w:rFonts w:hint="eastAsia"/>
          <w:color w:val="auto"/>
        </w:rPr>
        <w:t>《民用建筑隔声设计规范》GB 50118等的规定。</w:t>
      </w:r>
    </w:p>
    <w:p w14:paraId="417F4A74">
      <w:pPr>
        <w:pStyle w:val="7"/>
        <w:rPr>
          <w:rFonts w:hint="eastAsia" w:ascii="Times New Roman" w:hAnsi="Times New Roman" w:eastAsia="宋体" w:cs="Times New Roman"/>
          <w:color w:val="auto"/>
          <w:kern w:val="2"/>
          <w:sz w:val="24"/>
          <w:szCs w:val="24"/>
          <w:lang w:val="en-US" w:eastAsia="zh-CN" w:bidi="ar-SA"/>
        </w:rPr>
      </w:pPr>
    </w:p>
    <w:p w14:paraId="76417F14">
      <w:pPr>
        <w:pStyle w:val="3"/>
        <w:snapToGrid w:val="0"/>
        <w:rPr>
          <w:color w:val="auto"/>
        </w:rPr>
      </w:pPr>
      <w:bookmarkStart w:id="107" w:name="_Toc3352"/>
      <w:bookmarkStart w:id="108" w:name="_Toc26408"/>
      <w:r>
        <w:rPr>
          <w:color w:val="auto"/>
        </w:rPr>
        <w:t>4.</w:t>
      </w:r>
      <w:r>
        <w:rPr>
          <w:rFonts w:hint="eastAsia"/>
          <w:color w:val="auto"/>
        </w:rPr>
        <w:t>3</w:t>
      </w:r>
      <w:r>
        <w:rPr>
          <w:color w:val="auto"/>
        </w:rPr>
        <w:t>  </w:t>
      </w:r>
      <w:r>
        <w:rPr>
          <w:rFonts w:hint="eastAsia"/>
          <w:color w:val="auto"/>
        </w:rPr>
        <w:t>平面、立面与空间</w:t>
      </w:r>
      <w:bookmarkEnd w:id="107"/>
      <w:bookmarkEnd w:id="108"/>
    </w:p>
    <w:p w14:paraId="41BD0B3C">
      <w:pPr>
        <w:keepNext w:val="0"/>
        <w:keepLines w:val="0"/>
        <w:widowControl/>
        <w:suppressLineNumbers w:val="0"/>
        <w:jc w:val="left"/>
        <w:rPr>
          <w:rFonts w:hint="eastAsia"/>
          <w:color w:val="auto"/>
          <w:lang w:val="en-US" w:eastAsia="zh-CN"/>
        </w:rPr>
      </w:pPr>
      <w:r>
        <w:rPr>
          <w:rStyle w:val="22"/>
          <w:color w:val="auto"/>
        </w:rPr>
        <w:t>4.</w:t>
      </w:r>
      <w:r>
        <w:rPr>
          <w:rStyle w:val="22"/>
          <w:rFonts w:hint="eastAsia"/>
          <w:color w:val="auto"/>
          <w:lang w:val="en-US" w:eastAsia="zh-CN"/>
        </w:rPr>
        <w:t>3</w:t>
      </w:r>
      <w:r>
        <w:rPr>
          <w:rStyle w:val="22"/>
          <w:color w:val="auto"/>
        </w:rPr>
        <w:t>.</w:t>
      </w:r>
      <w:r>
        <w:rPr>
          <w:rStyle w:val="22"/>
          <w:rFonts w:hint="eastAsia"/>
          <w:color w:val="auto"/>
        </w:rPr>
        <w:t>1</w:t>
      </w:r>
      <w:r>
        <w:rPr>
          <w:color w:val="auto"/>
        </w:rPr>
        <w:t> </w:t>
      </w:r>
      <w:r>
        <w:rPr>
          <w:rFonts w:hint="eastAsia"/>
          <w:color w:val="auto"/>
        </w:rPr>
        <w:t xml:space="preserve"> </w:t>
      </w:r>
      <w:r>
        <w:rPr>
          <w:rFonts w:hint="eastAsia"/>
          <w:color w:val="auto"/>
          <w:lang w:val="en-US" w:eastAsia="zh-CN"/>
        </w:rPr>
        <w:t>注仓式自保温装配式农房平面应按套型设计，并满足《住宅设计规范》</w:t>
      </w:r>
      <w:r>
        <w:rPr>
          <w:rFonts w:hint="default"/>
          <w:color w:val="auto"/>
          <w:lang w:val="en-US" w:eastAsia="zh-CN"/>
        </w:rPr>
        <w:t>GB 50096</w:t>
      </w:r>
      <w:r>
        <w:rPr>
          <w:rFonts w:hint="eastAsia"/>
          <w:color w:val="auto"/>
          <w:lang w:val="en-US" w:eastAsia="zh-CN"/>
        </w:rPr>
        <w:t>、《住宅建筑规范》</w:t>
      </w:r>
      <w:r>
        <w:rPr>
          <w:rFonts w:hint="default"/>
          <w:color w:val="auto"/>
          <w:lang w:val="en-US" w:eastAsia="zh-CN"/>
        </w:rPr>
        <w:t xml:space="preserve">GB 50368 </w:t>
      </w:r>
      <w:r>
        <w:rPr>
          <w:rFonts w:hint="eastAsia"/>
          <w:color w:val="auto"/>
          <w:lang w:val="en-US" w:eastAsia="zh-CN"/>
        </w:rPr>
        <w:t>的设计要求。</w:t>
      </w:r>
    </w:p>
    <w:p w14:paraId="484673B2">
      <w:pPr>
        <w:rPr>
          <w:color w:val="auto"/>
        </w:rPr>
      </w:pPr>
      <w:r>
        <w:rPr>
          <w:rStyle w:val="22"/>
          <w:color w:val="auto"/>
        </w:rPr>
        <w:t>4.</w:t>
      </w:r>
      <w:r>
        <w:rPr>
          <w:rStyle w:val="22"/>
          <w:rFonts w:hint="eastAsia"/>
          <w:color w:val="auto"/>
          <w:lang w:val="en-US" w:eastAsia="zh-CN"/>
        </w:rPr>
        <w:t>3</w:t>
      </w:r>
      <w:r>
        <w:rPr>
          <w:rStyle w:val="22"/>
          <w:color w:val="auto"/>
        </w:rPr>
        <w:t>.</w:t>
      </w:r>
      <w:r>
        <w:rPr>
          <w:rStyle w:val="22"/>
          <w:rFonts w:hint="eastAsia"/>
          <w:color w:val="auto"/>
          <w:lang w:val="en-US" w:eastAsia="zh-CN"/>
        </w:rPr>
        <w:t>2</w:t>
      </w:r>
      <w:r>
        <w:rPr>
          <w:color w:val="auto"/>
        </w:rPr>
        <w:t> </w:t>
      </w:r>
      <w:r>
        <w:rPr>
          <w:rFonts w:hint="eastAsia"/>
          <w:color w:val="auto"/>
        </w:rPr>
        <w:t xml:space="preserve"> 注仓式自保温装配式农房平面设计应符合下列规定：</w:t>
      </w:r>
    </w:p>
    <w:p w14:paraId="46CADC98">
      <w:pPr>
        <w:ind w:firstLine="482" w:firstLineChars="200"/>
        <w:rPr>
          <w:color w:val="auto"/>
        </w:rPr>
      </w:pPr>
      <w:r>
        <w:rPr>
          <w:rFonts w:hint="eastAsia"/>
          <w:b/>
          <w:bCs/>
          <w:color w:val="auto"/>
        </w:rPr>
        <w:t>1</w:t>
      </w:r>
      <w:r>
        <w:rPr>
          <w:rFonts w:hint="eastAsia"/>
          <w:color w:val="auto"/>
        </w:rPr>
        <w:t xml:space="preserve">  平面几何形状宜规则</w:t>
      </w:r>
      <w:r>
        <w:rPr>
          <w:rFonts w:hint="eastAsia"/>
          <w:color w:val="auto"/>
          <w:lang w:eastAsia="zh-CN"/>
        </w:rPr>
        <w:t>，</w:t>
      </w:r>
      <w:r>
        <w:rPr>
          <w:rFonts w:hint="eastAsia"/>
          <w:color w:val="auto"/>
        </w:rPr>
        <w:t>其凹凸变化及长宽比应满足相关要求；</w:t>
      </w:r>
    </w:p>
    <w:p w14:paraId="28C196D9">
      <w:pPr>
        <w:ind w:firstLine="482" w:firstLineChars="200"/>
        <w:rPr>
          <w:rFonts w:hint="eastAsia"/>
          <w:color w:val="auto"/>
          <w:lang w:val="en-US" w:eastAsia="zh-CN"/>
        </w:rPr>
      </w:pPr>
      <w:r>
        <w:rPr>
          <w:rFonts w:hint="eastAsia"/>
          <w:b/>
          <w:bCs/>
          <w:color w:val="auto"/>
        </w:rPr>
        <w:t>2</w:t>
      </w:r>
      <w:r>
        <w:rPr>
          <w:rFonts w:hint="eastAsia"/>
          <w:color w:val="auto"/>
        </w:rPr>
        <w:t xml:space="preserve">  </w:t>
      </w:r>
      <w:r>
        <w:rPr>
          <w:rFonts w:hint="eastAsia"/>
          <w:color w:val="auto"/>
          <w:lang w:val="en-US" w:eastAsia="zh-CN"/>
        </w:rPr>
        <w:t>平面应兼顾注仓式自保温装配式墙体的特性，满足结构受力及构件设计要求；</w:t>
      </w:r>
    </w:p>
    <w:p w14:paraId="600CE586">
      <w:pPr>
        <w:ind w:firstLine="482" w:firstLineChars="200"/>
        <w:rPr>
          <w:color w:val="auto"/>
        </w:rPr>
      </w:pPr>
      <w:r>
        <w:rPr>
          <w:rFonts w:hint="eastAsia"/>
          <w:b/>
          <w:bCs/>
          <w:color w:val="auto"/>
        </w:rPr>
        <w:t>3</w:t>
      </w:r>
      <w:r>
        <w:rPr>
          <w:rFonts w:hint="eastAsia"/>
          <w:color w:val="auto"/>
        </w:rPr>
        <w:t xml:space="preserve">  设备与管线宜集中设置，并应进行管线综合设计；</w:t>
      </w:r>
    </w:p>
    <w:p w14:paraId="26CC9B7F">
      <w:pPr>
        <w:keepNext w:val="0"/>
        <w:keepLines w:val="0"/>
        <w:widowControl/>
        <w:suppressLineNumbers w:val="0"/>
        <w:ind w:firstLine="482" w:firstLineChars="200"/>
        <w:jc w:val="left"/>
        <w:rPr>
          <w:rFonts w:hint="eastAsia"/>
          <w:color w:val="auto"/>
          <w:lang w:val="en-US" w:eastAsia="zh-CN"/>
        </w:rPr>
      </w:pPr>
      <w:r>
        <w:rPr>
          <w:rFonts w:hint="eastAsia"/>
          <w:b/>
          <w:bCs/>
          <w:color w:val="auto"/>
        </w:rPr>
        <w:t>4</w:t>
      </w:r>
      <w:r>
        <w:rPr>
          <w:rFonts w:hint="eastAsia"/>
          <w:color w:val="auto"/>
        </w:rPr>
        <w:t xml:space="preserve">  </w:t>
      </w:r>
      <w:r>
        <w:rPr>
          <w:rFonts w:hint="eastAsia"/>
          <w:color w:val="auto"/>
          <w:lang w:val="en-US" w:eastAsia="zh-CN"/>
        </w:rPr>
        <w:t>平面尺寸宜采用标准模数，提高建筑标准化程度。</w:t>
      </w:r>
    </w:p>
    <w:p w14:paraId="43A6F240">
      <w:pPr>
        <w:rPr>
          <w:color w:val="auto"/>
        </w:rPr>
      </w:pPr>
      <w:r>
        <w:rPr>
          <w:rStyle w:val="22"/>
          <w:color w:val="auto"/>
        </w:rPr>
        <w:t>4.</w:t>
      </w:r>
      <w:r>
        <w:rPr>
          <w:rStyle w:val="22"/>
          <w:rFonts w:hint="eastAsia"/>
          <w:color w:val="auto"/>
          <w:lang w:val="en-US" w:eastAsia="zh-CN"/>
        </w:rPr>
        <w:t>3</w:t>
      </w:r>
      <w:r>
        <w:rPr>
          <w:rStyle w:val="22"/>
          <w:color w:val="auto"/>
        </w:rPr>
        <w:t>.</w:t>
      </w:r>
      <w:r>
        <w:rPr>
          <w:rStyle w:val="22"/>
          <w:rFonts w:hint="eastAsia"/>
          <w:color w:val="auto"/>
          <w:lang w:val="en-US" w:eastAsia="zh-CN"/>
        </w:rPr>
        <w:t>3</w:t>
      </w:r>
      <w:r>
        <w:rPr>
          <w:color w:val="auto"/>
        </w:rPr>
        <w:t> </w:t>
      </w:r>
      <w:r>
        <w:rPr>
          <w:rFonts w:hint="eastAsia"/>
          <w:color w:val="auto"/>
        </w:rPr>
        <w:t xml:space="preserve"> 注仓式自保温装配式农房立面设计应符合下列规定：</w:t>
      </w:r>
    </w:p>
    <w:p w14:paraId="24369FC8">
      <w:pPr>
        <w:ind w:firstLine="482" w:firstLineChars="200"/>
        <w:rPr>
          <w:color w:val="auto"/>
        </w:rPr>
      </w:pPr>
      <w:r>
        <w:rPr>
          <w:rFonts w:hint="eastAsia"/>
          <w:b/>
          <w:bCs/>
          <w:color w:val="auto"/>
        </w:rPr>
        <w:t>1</w:t>
      </w:r>
      <w:r>
        <w:rPr>
          <w:rFonts w:hint="eastAsia"/>
          <w:color w:val="auto"/>
        </w:rPr>
        <w:t xml:space="preserve">  立面设计应</w:t>
      </w:r>
      <w:r>
        <w:rPr>
          <w:rFonts w:hint="eastAsia"/>
          <w:color w:val="auto"/>
          <w:lang w:val="en-US" w:eastAsia="zh-CN"/>
        </w:rPr>
        <w:t>符合当地风貌要求和地域文化特色</w:t>
      </w:r>
      <w:r>
        <w:rPr>
          <w:rFonts w:hint="eastAsia"/>
          <w:color w:val="auto"/>
        </w:rPr>
        <w:t>；</w:t>
      </w:r>
    </w:p>
    <w:p w14:paraId="4CD603FE">
      <w:pPr>
        <w:ind w:firstLine="482" w:firstLineChars="200"/>
        <w:rPr>
          <w:rFonts w:hint="eastAsia"/>
          <w:color w:val="auto"/>
        </w:rPr>
      </w:pPr>
      <w:r>
        <w:rPr>
          <w:rFonts w:hint="eastAsia"/>
          <w:b/>
          <w:bCs/>
          <w:color w:val="auto"/>
        </w:rPr>
        <w:t>2</w:t>
      </w:r>
      <w:r>
        <w:rPr>
          <w:rFonts w:hint="eastAsia"/>
          <w:color w:val="auto"/>
        </w:rPr>
        <w:t xml:space="preserve">  外墙、阳台板、空调板、外门窗、遮阳及装饰等部品应进行标准化设计；</w:t>
      </w:r>
    </w:p>
    <w:p w14:paraId="7F64DCF8">
      <w:pPr>
        <w:ind w:firstLine="482" w:firstLineChars="200"/>
        <w:rPr>
          <w:rFonts w:hint="eastAsia"/>
          <w:color w:val="auto"/>
          <w:lang w:val="en-US" w:eastAsia="zh-CN"/>
        </w:rPr>
      </w:pPr>
      <w:r>
        <w:rPr>
          <w:rFonts w:hint="eastAsia"/>
          <w:b/>
          <w:bCs/>
          <w:color w:val="auto"/>
          <w:lang w:val="en-US" w:eastAsia="zh-CN"/>
        </w:rPr>
        <w:t>3</w:t>
      </w:r>
      <w:r>
        <w:rPr>
          <w:rFonts w:hint="eastAsia"/>
          <w:color w:val="auto"/>
          <w:lang w:val="en-US" w:eastAsia="zh-CN"/>
        </w:rPr>
        <w:t xml:space="preserve">  立面门窗洞口宜上下对齐、成列布置</w:t>
      </w:r>
      <w:r>
        <w:rPr>
          <w:rFonts w:hint="eastAsia" w:ascii="Times New Roman" w:hAnsi="Times New Roman" w:eastAsia="宋体" w:cs="Times New Roman"/>
          <w:color w:val="auto"/>
          <w:kern w:val="2"/>
          <w:sz w:val="24"/>
          <w:szCs w:val="24"/>
          <w:lang w:val="en-US" w:eastAsia="zh-CN" w:bidi="ar-SA"/>
        </w:rPr>
        <w:t>；</w:t>
      </w:r>
    </w:p>
    <w:p w14:paraId="11FA89CE">
      <w:pPr>
        <w:ind w:firstLine="482" w:firstLineChars="200"/>
        <w:rPr>
          <w:rFonts w:hint="eastAsia"/>
          <w:color w:val="auto"/>
        </w:rPr>
      </w:pPr>
      <w:r>
        <w:rPr>
          <w:rFonts w:hint="eastAsia"/>
          <w:b/>
          <w:bCs/>
          <w:color w:val="auto"/>
          <w:lang w:val="en-US" w:eastAsia="zh-CN"/>
        </w:rPr>
        <w:t>4</w:t>
      </w:r>
      <w:r>
        <w:rPr>
          <w:rFonts w:hint="eastAsia"/>
          <w:color w:val="auto"/>
        </w:rPr>
        <w:t xml:space="preserve">  外墙的装饰面层宜采用清水混凝土、装饰混凝土、免抹灰涂料和反打面砖等耐久性强的建筑材料。</w:t>
      </w:r>
    </w:p>
    <w:p w14:paraId="45F37858">
      <w:pPr>
        <w:rPr>
          <w:color w:val="auto"/>
        </w:rPr>
      </w:pPr>
      <w:r>
        <w:rPr>
          <w:rStyle w:val="22"/>
          <w:color w:val="auto"/>
        </w:rPr>
        <w:t>4.</w:t>
      </w:r>
      <w:r>
        <w:rPr>
          <w:rStyle w:val="22"/>
          <w:rFonts w:hint="eastAsia"/>
          <w:color w:val="auto"/>
          <w:lang w:val="en-US" w:eastAsia="zh-CN"/>
        </w:rPr>
        <w:t>3</w:t>
      </w:r>
      <w:r>
        <w:rPr>
          <w:rStyle w:val="22"/>
          <w:color w:val="auto"/>
        </w:rPr>
        <w:t>.</w:t>
      </w:r>
      <w:r>
        <w:rPr>
          <w:rStyle w:val="22"/>
          <w:rFonts w:hint="eastAsia"/>
          <w:color w:val="auto"/>
          <w:lang w:val="en-US" w:eastAsia="zh-CN"/>
        </w:rPr>
        <w:t>4</w:t>
      </w:r>
      <w:r>
        <w:rPr>
          <w:color w:val="auto"/>
        </w:rPr>
        <w:t> </w:t>
      </w:r>
      <w:r>
        <w:rPr>
          <w:rFonts w:hint="eastAsia"/>
          <w:color w:val="auto"/>
        </w:rPr>
        <w:t xml:space="preserve"> 注仓式自保温装配式农房应根据</w:t>
      </w:r>
      <w:r>
        <w:rPr>
          <w:rFonts w:hint="eastAsia"/>
          <w:color w:val="auto"/>
          <w:lang w:val="en-US" w:eastAsia="zh-CN"/>
        </w:rPr>
        <w:t>空间需求</w:t>
      </w:r>
      <w:r>
        <w:rPr>
          <w:rFonts w:hint="eastAsia"/>
          <w:color w:val="auto"/>
        </w:rPr>
        <w:t>、主体结构、设备管线及装修等要求确定合理的层高及</w:t>
      </w:r>
      <w:r>
        <w:rPr>
          <w:rFonts w:hint="eastAsia"/>
          <w:color w:val="auto"/>
          <w:lang w:eastAsia="zh-CN"/>
        </w:rPr>
        <w:t>净高</w:t>
      </w:r>
      <w:r>
        <w:rPr>
          <w:rFonts w:hint="eastAsia"/>
          <w:color w:val="auto"/>
        </w:rPr>
        <w:t>，并应</w:t>
      </w:r>
      <w:r>
        <w:rPr>
          <w:rFonts w:hint="eastAsia"/>
          <w:color w:val="auto"/>
          <w:lang w:val="en-US" w:eastAsia="zh-CN"/>
        </w:rPr>
        <w:t>结合屋</w:t>
      </w:r>
      <w:r>
        <w:rPr>
          <w:rFonts w:hint="eastAsia"/>
          <w:color w:val="auto"/>
        </w:rPr>
        <w:t>盖技术层厚度、梁高等要求</w:t>
      </w:r>
      <w:r>
        <w:rPr>
          <w:rFonts w:hint="eastAsia"/>
          <w:color w:val="auto"/>
          <w:lang w:val="en-US" w:eastAsia="zh-CN"/>
        </w:rPr>
        <w:t>综合</w:t>
      </w:r>
      <w:r>
        <w:rPr>
          <w:rFonts w:hint="eastAsia"/>
          <w:color w:val="auto"/>
        </w:rPr>
        <w:t>确定。</w:t>
      </w:r>
    </w:p>
    <w:p w14:paraId="62F990B6">
      <w:pPr>
        <w:rPr>
          <w:color w:val="auto"/>
        </w:rPr>
      </w:pPr>
    </w:p>
    <w:p w14:paraId="27546539">
      <w:pPr>
        <w:pStyle w:val="3"/>
        <w:snapToGrid w:val="0"/>
        <w:rPr>
          <w:color w:val="auto"/>
        </w:rPr>
      </w:pPr>
      <w:bookmarkStart w:id="109" w:name="_Toc13166"/>
      <w:bookmarkStart w:id="110" w:name="_Toc13402"/>
      <w:r>
        <w:rPr>
          <w:color w:val="auto"/>
        </w:rPr>
        <w:t>4.</w:t>
      </w:r>
      <w:r>
        <w:rPr>
          <w:rFonts w:hint="eastAsia"/>
          <w:color w:val="auto"/>
          <w:lang w:val="en-US" w:eastAsia="zh-CN"/>
        </w:rPr>
        <w:t>4</w:t>
      </w:r>
      <w:r>
        <w:rPr>
          <w:color w:val="auto"/>
        </w:rPr>
        <w:t>  </w:t>
      </w:r>
      <w:r>
        <w:rPr>
          <w:rFonts w:hint="eastAsia"/>
          <w:color w:val="auto"/>
        </w:rPr>
        <w:t>墙体</w:t>
      </w:r>
      <w:r>
        <w:rPr>
          <w:rFonts w:hint="eastAsia"/>
          <w:color w:val="auto"/>
          <w:lang w:val="en-US" w:eastAsia="zh-CN"/>
        </w:rPr>
        <w:t>与屋面</w:t>
      </w:r>
      <w:r>
        <w:rPr>
          <w:rFonts w:hint="eastAsia"/>
          <w:color w:val="auto"/>
        </w:rPr>
        <w:t>设计</w:t>
      </w:r>
      <w:bookmarkEnd w:id="109"/>
      <w:bookmarkEnd w:id="110"/>
    </w:p>
    <w:p w14:paraId="149AFEC3">
      <w:pPr>
        <w:snapToGrid w:val="0"/>
        <w:rPr>
          <w:rStyle w:val="22"/>
          <w:color w:val="auto"/>
          <w:sz w:val="15"/>
          <w:szCs w:val="15"/>
        </w:rPr>
      </w:pPr>
      <w:r>
        <w:rPr>
          <w:rStyle w:val="22"/>
          <w:rFonts w:hint="eastAsia"/>
          <w:color w:val="auto"/>
        </w:rPr>
        <w:t>4</w:t>
      </w:r>
      <w:r>
        <w:rPr>
          <w:rStyle w:val="22"/>
          <w:color w:val="auto"/>
        </w:rPr>
        <w:t>.</w:t>
      </w:r>
      <w:r>
        <w:rPr>
          <w:rStyle w:val="22"/>
          <w:rFonts w:hint="eastAsia"/>
          <w:color w:val="auto"/>
          <w:lang w:val="en-US" w:eastAsia="zh-CN"/>
        </w:rPr>
        <w:t>4</w:t>
      </w:r>
      <w:r>
        <w:rPr>
          <w:rStyle w:val="22"/>
          <w:color w:val="auto"/>
        </w:rPr>
        <w:t>.1</w:t>
      </w:r>
      <w:r>
        <w:rPr>
          <w:color w:val="auto"/>
        </w:rPr>
        <w:t>  </w:t>
      </w:r>
      <w:r>
        <w:rPr>
          <w:rFonts w:hint="eastAsia"/>
          <w:color w:val="auto"/>
        </w:rPr>
        <w:t>外围护墙和内隔墙宜采用注仓式自保温装配集成墙体，并</w:t>
      </w:r>
      <w:r>
        <w:rPr>
          <w:color w:val="auto"/>
        </w:rPr>
        <w:t>应符合</w:t>
      </w:r>
      <w:r>
        <w:rPr>
          <w:rFonts w:hint="eastAsia"/>
          <w:color w:val="auto"/>
        </w:rPr>
        <w:t>现行地方标准《四川省注仓式自保温装配集成墙体应用技术标准》</w:t>
      </w:r>
      <w:r>
        <w:rPr>
          <w:rFonts w:hint="eastAsia"/>
          <w:color w:val="auto"/>
          <w:lang w:eastAsia="zh-CN"/>
        </w:rPr>
        <w:t>DBJ51/T 272</w:t>
      </w:r>
      <w:r>
        <w:rPr>
          <w:rFonts w:hint="eastAsia"/>
          <w:color w:val="auto"/>
        </w:rPr>
        <w:t>和现行团体标准《注仓式装配复合轻质墙体应用技术标准》T/ASC 53、T/CCES 54的规定。</w:t>
      </w:r>
    </w:p>
    <w:p w14:paraId="4B52ABA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rPr>
      </w:pPr>
      <w:r>
        <w:rPr>
          <w:rStyle w:val="22"/>
          <w:rFonts w:hint="eastAsia"/>
          <w:color w:val="auto"/>
        </w:rPr>
        <w:t>4</w:t>
      </w:r>
      <w:r>
        <w:rPr>
          <w:rStyle w:val="22"/>
          <w:color w:val="auto"/>
        </w:rPr>
        <w:t>.</w:t>
      </w:r>
      <w:r>
        <w:rPr>
          <w:rStyle w:val="22"/>
          <w:rFonts w:hint="eastAsia"/>
          <w:color w:val="auto"/>
          <w:lang w:val="en-US" w:eastAsia="zh-CN"/>
        </w:rPr>
        <w:t>4</w:t>
      </w:r>
      <w:r>
        <w:rPr>
          <w:rStyle w:val="22"/>
          <w:color w:val="auto"/>
        </w:rPr>
        <w:t>.</w:t>
      </w:r>
      <w:r>
        <w:rPr>
          <w:rStyle w:val="22"/>
          <w:rFonts w:hint="eastAsia"/>
          <w:color w:val="auto"/>
        </w:rPr>
        <w:t>2</w:t>
      </w:r>
      <w:r>
        <w:rPr>
          <w:color w:val="auto"/>
        </w:rPr>
        <w:t xml:space="preserve">  </w:t>
      </w:r>
      <w:r>
        <w:rPr>
          <w:rFonts w:hint="eastAsia"/>
          <w:color w:val="auto"/>
          <w:lang w:val="en-US" w:eastAsia="zh-CN"/>
        </w:rPr>
        <w:t>墙体应根据建筑所在地区的气候条件、使用功能、工程环境等综合确定抗风性能、抗震性能、耐撞击性能、防火性能、水密性能、气密性能、隔声性能、热工性能和耐久性能等要求。</w:t>
      </w:r>
    </w:p>
    <w:p w14:paraId="310E582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color w:val="auto"/>
          <w:lang w:val="en-US" w:eastAsia="zh-CN"/>
        </w:rPr>
      </w:pPr>
      <w:r>
        <w:rPr>
          <w:rStyle w:val="22"/>
          <w:rFonts w:hint="eastAsia"/>
          <w:color w:val="auto"/>
        </w:rPr>
        <w:t>4</w:t>
      </w:r>
      <w:r>
        <w:rPr>
          <w:rStyle w:val="22"/>
          <w:color w:val="auto"/>
        </w:rPr>
        <w:t>.</w:t>
      </w:r>
      <w:r>
        <w:rPr>
          <w:rStyle w:val="22"/>
          <w:rFonts w:hint="eastAsia"/>
          <w:color w:val="auto"/>
          <w:lang w:val="en-US" w:eastAsia="zh-CN"/>
        </w:rPr>
        <w:t>4</w:t>
      </w:r>
      <w:r>
        <w:rPr>
          <w:rStyle w:val="22"/>
          <w:color w:val="auto"/>
        </w:rPr>
        <w:t>.</w:t>
      </w:r>
      <w:r>
        <w:rPr>
          <w:rStyle w:val="22"/>
          <w:rFonts w:hint="eastAsia"/>
          <w:color w:val="auto"/>
          <w:lang w:val="en-US" w:eastAsia="zh-CN"/>
        </w:rPr>
        <w:t>4</w:t>
      </w:r>
      <w:r>
        <w:rPr>
          <w:color w:val="auto"/>
        </w:rPr>
        <w:t xml:space="preserve">  </w:t>
      </w:r>
      <w:r>
        <w:rPr>
          <w:rFonts w:hint="eastAsia"/>
          <w:color w:val="auto"/>
          <w:lang w:val="en-US" w:eastAsia="zh-CN"/>
        </w:rPr>
        <w:t xml:space="preserve">屋面设计应符合下列规定： </w:t>
      </w:r>
    </w:p>
    <w:p w14:paraId="2FFA1073">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color w:val="auto"/>
        </w:rPr>
      </w:pPr>
      <w:r>
        <w:rPr>
          <w:rFonts w:hint="default" w:ascii="Times New Roman" w:hAnsi="Times New Roman" w:eastAsia="宋体" w:cs="Times New Roman"/>
          <w:b/>
          <w:bCs/>
          <w:color w:val="auto"/>
          <w:kern w:val="0"/>
          <w:sz w:val="24"/>
          <w:szCs w:val="24"/>
          <w:lang w:val="en-US" w:eastAsia="zh-CN" w:bidi="ar"/>
        </w:rPr>
        <w:t xml:space="preserve">1 </w:t>
      </w:r>
      <w:r>
        <w:rPr>
          <w:rFonts w:hint="eastAsia" w:ascii="宋体" w:hAnsi="宋体" w:eastAsia="宋体" w:cs="宋体"/>
          <w:color w:val="auto"/>
          <w:kern w:val="0"/>
          <w:sz w:val="24"/>
          <w:szCs w:val="24"/>
          <w:lang w:val="en-US" w:eastAsia="zh-CN" w:bidi="ar"/>
        </w:rPr>
        <w:t>屋面防水设计应符合现行国家标准《建筑与市政工程防水通用规范》</w:t>
      </w:r>
      <w:r>
        <w:rPr>
          <w:rFonts w:hint="default" w:ascii="Times New Roman" w:hAnsi="Times New Roman" w:eastAsia="宋体" w:cs="Times New Roman"/>
          <w:color w:val="auto"/>
          <w:kern w:val="0"/>
          <w:sz w:val="24"/>
          <w:szCs w:val="24"/>
          <w:lang w:val="en-US" w:eastAsia="zh-CN" w:bidi="ar"/>
        </w:rPr>
        <w:t xml:space="preserve">GB </w:t>
      </w:r>
    </w:p>
    <w:p w14:paraId="0CAF3A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rPr>
      </w:pPr>
      <w:r>
        <w:rPr>
          <w:rFonts w:hint="default" w:ascii="Times New Roman" w:hAnsi="Times New Roman" w:eastAsia="宋体" w:cs="Times New Roman"/>
          <w:color w:val="auto"/>
          <w:kern w:val="0"/>
          <w:sz w:val="24"/>
          <w:szCs w:val="24"/>
          <w:lang w:val="en-US" w:eastAsia="zh-CN" w:bidi="ar"/>
        </w:rPr>
        <w:t>55030</w:t>
      </w:r>
      <w:r>
        <w:rPr>
          <w:rFonts w:hint="eastAsia" w:ascii="宋体" w:hAnsi="宋体" w:eastAsia="宋体" w:cs="宋体"/>
          <w:color w:val="auto"/>
          <w:kern w:val="0"/>
          <w:sz w:val="24"/>
          <w:szCs w:val="24"/>
          <w:lang w:val="en-US" w:eastAsia="zh-CN" w:bidi="ar"/>
        </w:rPr>
        <w:t>、《屋面工程技术规范》</w:t>
      </w:r>
      <w:r>
        <w:rPr>
          <w:rFonts w:hint="default" w:ascii="Times New Roman" w:hAnsi="Times New Roman" w:eastAsia="宋体" w:cs="Times New Roman"/>
          <w:color w:val="auto"/>
          <w:kern w:val="0"/>
          <w:sz w:val="24"/>
          <w:szCs w:val="24"/>
          <w:lang w:val="en-US" w:eastAsia="zh-CN" w:bidi="ar"/>
        </w:rPr>
        <w:t xml:space="preserve">GB 50345 </w:t>
      </w:r>
      <w:r>
        <w:rPr>
          <w:rFonts w:hint="eastAsia" w:ascii="宋体" w:hAnsi="宋体" w:eastAsia="宋体" w:cs="宋体"/>
          <w:color w:val="auto"/>
          <w:kern w:val="0"/>
          <w:sz w:val="24"/>
          <w:szCs w:val="24"/>
          <w:lang w:val="en-US" w:eastAsia="zh-CN" w:bidi="ar"/>
        </w:rPr>
        <w:t xml:space="preserve">中的相关规定，并应具有良好的排水功能，宜采用有组织排水系统； </w:t>
      </w:r>
    </w:p>
    <w:p w14:paraId="4368712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color w:val="auto"/>
        </w:rPr>
      </w:pPr>
      <w:r>
        <w:rPr>
          <w:rFonts w:hint="default" w:ascii="Times New Roman" w:hAnsi="Times New Roman" w:eastAsia="宋体" w:cs="Times New Roman"/>
          <w:b/>
          <w:bCs/>
          <w:color w:val="auto"/>
          <w:kern w:val="0"/>
          <w:sz w:val="24"/>
          <w:szCs w:val="24"/>
          <w:lang w:val="en-US" w:eastAsia="zh-CN" w:bidi="ar"/>
        </w:rPr>
        <w:t xml:space="preserve">2 </w:t>
      </w:r>
      <w:r>
        <w:rPr>
          <w:rFonts w:hint="eastAsia" w:ascii="宋体" w:hAnsi="宋体" w:eastAsia="宋体" w:cs="宋体"/>
          <w:color w:val="auto"/>
          <w:kern w:val="0"/>
          <w:sz w:val="24"/>
          <w:szCs w:val="24"/>
          <w:lang w:val="en-US" w:eastAsia="zh-CN" w:bidi="ar"/>
        </w:rPr>
        <w:t>屋面采用太阳能系统时，应与屋面进行一体化设计，应满足现行标准《民用建筑太阳能热水系统应用技术标准》</w:t>
      </w:r>
      <w:r>
        <w:rPr>
          <w:rFonts w:hint="default" w:ascii="Times New Roman" w:hAnsi="Times New Roman" w:eastAsia="宋体" w:cs="Times New Roman"/>
          <w:color w:val="auto"/>
          <w:kern w:val="0"/>
          <w:sz w:val="24"/>
          <w:szCs w:val="24"/>
          <w:lang w:val="en-US" w:eastAsia="zh-CN" w:bidi="ar"/>
        </w:rPr>
        <w:t>GB 50364</w:t>
      </w:r>
      <w:r>
        <w:rPr>
          <w:rFonts w:hint="eastAsia" w:ascii="宋体" w:hAnsi="宋体" w:eastAsia="宋体" w:cs="宋体"/>
          <w:color w:val="auto"/>
          <w:kern w:val="0"/>
          <w:sz w:val="24"/>
          <w:szCs w:val="24"/>
          <w:lang w:val="en-US" w:eastAsia="zh-CN" w:bidi="ar"/>
        </w:rPr>
        <w:t>、《建筑光伏系统应用</w:t>
      </w:r>
      <w:r>
        <w:rPr>
          <w:rFonts w:hint="eastAsia" w:ascii="宋体" w:hAnsi="宋体" w:cs="宋体"/>
          <w:color w:val="auto"/>
          <w:kern w:val="0"/>
          <w:sz w:val="24"/>
          <w:szCs w:val="24"/>
          <w:lang w:val="en-US" w:eastAsia="zh-CN" w:bidi="ar"/>
        </w:rPr>
        <w:t>技术标准</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 xml:space="preserve">GB/T 51368 </w:t>
      </w:r>
      <w:r>
        <w:rPr>
          <w:rFonts w:hint="eastAsia" w:ascii="宋体" w:hAnsi="宋体" w:eastAsia="宋体" w:cs="宋体"/>
          <w:color w:val="auto"/>
          <w:kern w:val="0"/>
          <w:sz w:val="24"/>
          <w:szCs w:val="24"/>
          <w:lang w:val="en-US" w:eastAsia="zh-CN" w:bidi="ar"/>
        </w:rPr>
        <w:t>的规定</w:t>
      </w:r>
      <w:r>
        <w:rPr>
          <w:rFonts w:hint="eastAsia" w:ascii="宋体" w:hAnsi="宋体" w:cs="宋体"/>
          <w:color w:val="auto"/>
          <w:kern w:val="0"/>
          <w:sz w:val="24"/>
          <w:szCs w:val="24"/>
          <w:lang w:val="en-US" w:eastAsia="zh-CN" w:bidi="ar"/>
        </w:rPr>
        <w:t>。</w:t>
      </w:r>
    </w:p>
    <w:p w14:paraId="2DED5990">
      <w:pPr>
        <w:snapToGrid w:val="0"/>
        <w:rPr>
          <w:color w:val="auto"/>
        </w:rPr>
      </w:pPr>
      <w:r>
        <w:rPr>
          <w:color w:val="auto"/>
        </w:rPr>
        <w:br w:type="page"/>
      </w:r>
    </w:p>
    <w:p w14:paraId="22C1E459">
      <w:pPr>
        <w:pStyle w:val="2"/>
        <w:rPr>
          <w:color w:val="auto"/>
        </w:rPr>
      </w:pPr>
      <w:bookmarkStart w:id="111" w:name="_Toc27702"/>
      <w:bookmarkStart w:id="112" w:name="_Toc1003"/>
      <w:r>
        <w:rPr>
          <w:color w:val="auto"/>
        </w:rPr>
        <w:t>5</w:t>
      </w:r>
      <w:bookmarkStart w:id="113" w:name="OLE_LINK1"/>
      <w:r>
        <w:rPr>
          <w:color w:val="auto"/>
        </w:rPr>
        <w:t xml:space="preserve">  </w:t>
      </w:r>
      <w:bookmarkEnd w:id="100"/>
      <w:bookmarkEnd w:id="101"/>
      <w:bookmarkEnd w:id="102"/>
      <w:bookmarkEnd w:id="103"/>
      <w:bookmarkEnd w:id="104"/>
      <w:bookmarkEnd w:id="113"/>
      <w:r>
        <w:rPr>
          <w:rFonts w:hint="eastAsia"/>
          <w:color w:val="auto"/>
        </w:rPr>
        <w:t>结构设计</w:t>
      </w:r>
      <w:bookmarkEnd w:id="111"/>
      <w:bookmarkEnd w:id="112"/>
      <w:bookmarkStart w:id="114" w:name="_Toc31087"/>
      <w:bookmarkStart w:id="115" w:name="_Toc20763"/>
    </w:p>
    <w:p w14:paraId="48A866D8">
      <w:pPr>
        <w:pStyle w:val="3"/>
        <w:snapToGrid w:val="0"/>
        <w:rPr>
          <w:color w:val="auto"/>
        </w:rPr>
      </w:pPr>
      <w:bookmarkStart w:id="116" w:name="OLE_LINK2"/>
      <w:bookmarkStart w:id="117" w:name="_Toc2690"/>
      <w:bookmarkStart w:id="118" w:name="_Toc174732745"/>
      <w:bookmarkStart w:id="119" w:name="_Toc19748"/>
      <w:bookmarkStart w:id="120" w:name="_Toc21485"/>
      <w:bookmarkStart w:id="121" w:name="_Toc24631"/>
      <w:r>
        <w:rPr>
          <w:color w:val="auto"/>
        </w:rPr>
        <w:t>5.1  一般规定</w:t>
      </w:r>
      <w:bookmarkEnd w:id="114"/>
      <w:bookmarkEnd w:id="115"/>
      <w:bookmarkEnd w:id="116"/>
      <w:bookmarkEnd w:id="117"/>
      <w:bookmarkEnd w:id="118"/>
      <w:bookmarkEnd w:id="119"/>
      <w:bookmarkEnd w:id="120"/>
      <w:bookmarkEnd w:id="121"/>
    </w:p>
    <w:p w14:paraId="235C6930">
      <w:pPr>
        <w:snapToGrid w:val="0"/>
        <w:rPr>
          <w:color w:val="auto"/>
        </w:rPr>
      </w:pPr>
      <w:r>
        <w:rPr>
          <w:rStyle w:val="22"/>
          <w:color w:val="auto"/>
        </w:rPr>
        <w:t>5</w:t>
      </w:r>
      <w:bookmarkStart w:id="122" w:name="OLE_LINK3"/>
      <w:r>
        <w:rPr>
          <w:rStyle w:val="22"/>
          <w:color w:val="auto"/>
        </w:rPr>
        <w:t>.1.</w:t>
      </w:r>
      <w:r>
        <w:rPr>
          <w:rStyle w:val="22"/>
          <w:rFonts w:hint="eastAsia"/>
          <w:color w:val="auto"/>
        </w:rPr>
        <w:t>1</w:t>
      </w:r>
      <w:r>
        <w:rPr>
          <w:color w:val="auto"/>
        </w:rPr>
        <w:t>  </w:t>
      </w:r>
      <w:r>
        <w:rPr>
          <w:rFonts w:hint="eastAsia"/>
          <w:color w:val="auto"/>
        </w:rPr>
        <w:t>注仓式自保温装配式农房的结构设计应符合现行国家标准《混凝土结构设计标准》GB/T 50010、</w:t>
      </w:r>
      <w:r>
        <w:rPr>
          <w:rFonts w:hint="eastAsia"/>
          <w:color w:val="auto"/>
          <w:lang w:eastAsia="zh-CN"/>
        </w:rPr>
        <w:t>《建筑抗震设计标准》GB/T 50011</w:t>
      </w:r>
      <w:r>
        <w:rPr>
          <w:rFonts w:hint="eastAsia"/>
          <w:color w:val="auto"/>
        </w:rPr>
        <w:t>和《钢结构设计标准》</w:t>
      </w:r>
      <w:r>
        <w:rPr>
          <w:rFonts w:hint="eastAsia"/>
          <w:color w:val="auto"/>
          <w:lang w:eastAsia="zh-CN"/>
        </w:rPr>
        <w:t>GB 50017</w:t>
      </w:r>
      <w:r>
        <w:rPr>
          <w:rFonts w:hint="eastAsia"/>
          <w:color w:val="auto"/>
        </w:rPr>
        <w:t xml:space="preserve">的规定。 </w:t>
      </w:r>
    </w:p>
    <w:p w14:paraId="5E29E26C">
      <w:pPr>
        <w:snapToGrid w:val="0"/>
        <w:rPr>
          <w:rStyle w:val="22"/>
          <w:color w:val="auto"/>
        </w:rPr>
      </w:pPr>
      <w:r>
        <w:rPr>
          <w:rStyle w:val="22"/>
          <w:color w:val="auto"/>
        </w:rPr>
        <w:t>5.1.</w:t>
      </w:r>
      <w:r>
        <w:rPr>
          <w:rStyle w:val="22"/>
          <w:rFonts w:hint="eastAsia"/>
          <w:color w:val="auto"/>
        </w:rPr>
        <w:t>2</w:t>
      </w:r>
      <w:r>
        <w:rPr>
          <w:color w:val="auto"/>
        </w:rPr>
        <w:t>  </w:t>
      </w:r>
      <w:r>
        <w:rPr>
          <w:rFonts w:hint="eastAsia"/>
          <w:color w:val="auto"/>
        </w:rPr>
        <w:t>注仓式自</w:t>
      </w:r>
      <w:bookmarkEnd w:id="122"/>
      <w:r>
        <w:rPr>
          <w:rFonts w:hint="eastAsia"/>
          <w:color w:val="auto"/>
        </w:rPr>
        <w:t>保温装配式农房结构设计的荷载、作用及其组合应符合现行国家标准《工程结构可靠性设计统一标准》</w:t>
      </w:r>
      <w:r>
        <w:rPr>
          <w:rFonts w:hint="eastAsia"/>
          <w:color w:val="auto"/>
          <w:lang w:eastAsia="zh-CN"/>
        </w:rPr>
        <w:t>GB 50153</w:t>
      </w:r>
      <w:r>
        <w:rPr>
          <w:rFonts w:hint="eastAsia"/>
          <w:color w:val="auto"/>
        </w:rPr>
        <w:t>、《建筑结构荷载规范》GB 50009和</w:t>
      </w:r>
      <w:r>
        <w:rPr>
          <w:color w:val="auto"/>
        </w:rPr>
        <w:t>《建筑抗震设计标准》GB/T 50011</w:t>
      </w:r>
      <w:r>
        <w:rPr>
          <w:rFonts w:hint="eastAsia"/>
          <w:color w:val="auto"/>
        </w:rPr>
        <w:t>的规定。</w:t>
      </w:r>
    </w:p>
    <w:p w14:paraId="251A23F7">
      <w:pPr>
        <w:snapToGrid w:val="0"/>
        <w:rPr>
          <w:color w:val="auto"/>
        </w:rPr>
      </w:pPr>
      <w:r>
        <w:rPr>
          <w:rStyle w:val="22"/>
          <w:color w:val="auto"/>
        </w:rPr>
        <w:t>5.1.</w:t>
      </w:r>
      <w:r>
        <w:rPr>
          <w:rStyle w:val="22"/>
          <w:rFonts w:hint="eastAsia"/>
          <w:color w:val="auto"/>
        </w:rPr>
        <w:t>3</w:t>
      </w:r>
      <w:r>
        <w:rPr>
          <w:color w:val="auto"/>
        </w:rPr>
        <w:t>  </w:t>
      </w:r>
      <w:r>
        <w:rPr>
          <w:rFonts w:hint="eastAsia"/>
          <w:color w:val="auto"/>
        </w:rPr>
        <w:t xml:space="preserve">注仓式自保温装配式农房的平面形状宜简单、规则、对称，质量、刚度、承载力分布宜均匀。 </w:t>
      </w:r>
    </w:p>
    <w:p w14:paraId="3D4FEB04">
      <w:pPr>
        <w:snapToGrid w:val="0"/>
        <w:rPr>
          <w:color w:val="auto"/>
        </w:rPr>
      </w:pPr>
      <w:r>
        <w:rPr>
          <w:rStyle w:val="22"/>
          <w:color w:val="auto"/>
        </w:rPr>
        <w:t>5.1.</w:t>
      </w:r>
      <w:r>
        <w:rPr>
          <w:rStyle w:val="22"/>
          <w:rFonts w:hint="eastAsia"/>
          <w:color w:val="auto"/>
        </w:rPr>
        <w:t>4</w:t>
      </w:r>
      <w:r>
        <w:rPr>
          <w:color w:val="auto"/>
        </w:rPr>
        <w:t>  </w:t>
      </w:r>
      <w:r>
        <w:rPr>
          <w:rFonts w:hint="eastAsia"/>
          <w:color w:val="auto"/>
        </w:rPr>
        <w:t xml:space="preserve">注仓式自保温装配式农房的质量和刚度沿高度宜均匀、无突变，不宜采用错层结构。 </w:t>
      </w:r>
    </w:p>
    <w:p w14:paraId="2390BF51">
      <w:pPr>
        <w:rPr>
          <w:color w:val="auto"/>
        </w:rPr>
      </w:pPr>
    </w:p>
    <w:p w14:paraId="4C173735">
      <w:pPr>
        <w:pStyle w:val="3"/>
        <w:snapToGrid w:val="0"/>
        <w:rPr>
          <w:color w:val="auto"/>
        </w:rPr>
      </w:pPr>
      <w:bookmarkStart w:id="123" w:name="_Toc17332"/>
      <w:bookmarkStart w:id="124" w:name="_Toc12644"/>
      <w:r>
        <w:rPr>
          <w:color w:val="auto"/>
        </w:rPr>
        <w:t>5.</w:t>
      </w:r>
      <w:r>
        <w:rPr>
          <w:rFonts w:hint="eastAsia"/>
          <w:color w:val="auto"/>
        </w:rPr>
        <w:t>2</w:t>
      </w:r>
      <w:r>
        <w:rPr>
          <w:color w:val="auto"/>
        </w:rPr>
        <w:t>  </w:t>
      </w:r>
      <w:r>
        <w:rPr>
          <w:rFonts w:hint="eastAsia"/>
          <w:color w:val="auto"/>
        </w:rPr>
        <w:t>结构体系</w:t>
      </w:r>
      <w:bookmarkEnd w:id="123"/>
      <w:bookmarkEnd w:id="124"/>
    </w:p>
    <w:p w14:paraId="7135F87D">
      <w:pPr>
        <w:snapToGrid w:val="0"/>
        <w:rPr>
          <w:rStyle w:val="22"/>
          <w:color w:val="auto"/>
        </w:rPr>
      </w:pPr>
      <w:r>
        <w:rPr>
          <w:rStyle w:val="22"/>
          <w:color w:val="auto"/>
        </w:rPr>
        <w:t>5.</w:t>
      </w:r>
      <w:r>
        <w:rPr>
          <w:rStyle w:val="22"/>
          <w:rFonts w:hint="eastAsia"/>
          <w:color w:val="auto"/>
        </w:rPr>
        <w:t>2</w:t>
      </w:r>
      <w:r>
        <w:rPr>
          <w:rStyle w:val="22"/>
          <w:color w:val="auto"/>
        </w:rPr>
        <w:t>.</w:t>
      </w:r>
      <w:r>
        <w:rPr>
          <w:rStyle w:val="22"/>
          <w:rFonts w:hint="eastAsia"/>
          <w:color w:val="auto"/>
        </w:rPr>
        <w:t>1</w:t>
      </w:r>
      <w:r>
        <w:rPr>
          <w:color w:val="auto"/>
        </w:rPr>
        <w:t>  </w:t>
      </w:r>
      <w:r>
        <w:rPr>
          <w:rFonts w:hint="eastAsia"/>
          <w:color w:val="auto"/>
        </w:rPr>
        <w:t>注仓式自保温装配式农房的主体结构宜采用钢筋混凝土框架结构和钢框架结构。</w:t>
      </w:r>
    </w:p>
    <w:p w14:paraId="0E5A0EAD">
      <w:pPr>
        <w:snapToGrid w:val="0"/>
        <w:rPr>
          <w:color w:val="auto"/>
        </w:rPr>
      </w:pPr>
      <w:r>
        <w:rPr>
          <w:rStyle w:val="22"/>
          <w:color w:val="auto"/>
        </w:rPr>
        <w:t>5.</w:t>
      </w:r>
      <w:r>
        <w:rPr>
          <w:rStyle w:val="22"/>
          <w:rFonts w:hint="eastAsia"/>
          <w:color w:val="auto"/>
        </w:rPr>
        <w:t>2</w:t>
      </w:r>
      <w:r>
        <w:rPr>
          <w:rStyle w:val="22"/>
          <w:color w:val="auto"/>
        </w:rPr>
        <w:t>.</w:t>
      </w:r>
      <w:r>
        <w:rPr>
          <w:rStyle w:val="22"/>
          <w:rFonts w:hint="eastAsia"/>
          <w:color w:val="auto"/>
        </w:rPr>
        <w:t>2</w:t>
      </w:r>
      <w:r>
        <w:rPr>
          <w:color w:val="auto"/>
        </w:rPr>
        <w:t>  </w:t>
      </w:r>
      <w:r>
        <w:rPr>
          <w:rFonts w:hint="eastAsia"/>
          <w:color w:val="auto"/>
        </w:rPr>
        <w:t>注仓式自保温装配式农房的结构体系应符合下列规定：</w:t>
      </w:r>
    </w:p>
    <w:p w14:paraId="0BA49864">
      <w:pPr>
        <w:snapToGrid w:val="0"/>
        <w:ind w:firstLine="482" w:firstLineChars="200"/>
        <w:rPr>
          <w:color w:val="auto"/>
        </w:rPr>
      </w:pPr>
      <w:r>
        <w:rPr>
          <w:rFonts w:hint="eastAsia"/>
          <w:b/>
          <w:bCs/>
          <w:color w:val="auto"/>
        </w:rPr>
        <w:t>1</w:t>
      </w:r>
      <w:r>
        <w:rPr>
          <w:rFonts w:hint="eastAsia"/>
          <w:color w:val="auto"/>
        </w:rPr>
        <w:t xml:space="preserve">  应具有明确的计算简图和合理的传力路径；</w:t>
      </w:r>
    </w:p>
    <w:p w14:paraId="6AEB17B5">
      <w:pPr>
        <w:snapToGrid w:val="0"/>
        <w:ind w:firstLine="482" w:firstLineChars="200"/>
        <w:rPr>
          <w:color w:val="auto"/>
        </w:rPr>
      </w:pPr>
      <w:r>
        <w:rPr>
          <w:rFonts w:hint="eastAsia"/>
          <w:b/>
          <w:bCs/>
          <w:color w:val="auto"/>
        </w:rPr>
        <w:t>2</w:t>
      </w:r>
      <w:r>
        <w:rPr>
          <w:rFonts w:hint="eastAsia"/>
          <w:color w:val="auto"/>
        </w:rPr>
        <w:t xml:space="preserve">  应具有适宜的承载能力、刚度、耗能能力及稳定性；</w:t>
      </w:r>
    </w:p>
    <w:p w14:paraId="2E5AD65B">
      <w:pPr>
        <w:snapToGrid w:val="0"/>
        <w:ind w:firstLine="482" w:firstLineChars="200"/>
        <w:rPr>
          <w:color w:val="auto"/>
        </w:rPr>
      </w:pPr>
      <w:r>
        <w:rPr>
          <w:rFonts w:hint="eastAsia"/>
          <w:b/>
          <w:bCs/>
          <w:color w:val="auto"/>
        </w:rPr>
        <w:t>3</w:t>
      </w:r>
      <w:r>
        <w:rPr>
          <w:rFonts w:hint="eastAsia"/>
          <w:color w:val="auto"/>
        </w:rPr>
        <w:t xml:space="preserve">  应避免因部分结构或构件的破坏而导致整个结构丧失承载能力；</w:t>
      </w:r>
    </w:p>
    <w:p w14:paraId="0A9E58DE">
      <w:pPr>
        <w:snapToGrid w:val="0"/>
        <w:ind w:firstLine="482" w:firstLineChars="200"/>
        <w:rPr>
          <w:color w:val="auto"/>
        </w:rPr>
      </w:pPr>
      <w:r>
        <w:rPr>
          <w:rFonts w:hint="eastAsia"/>
          <w:b/>
          <w:bCs/>
          <w:color w:val="auto"/>
        </w:rPr>
        <w:t>4</w:t>
      </w:r>
      <w:r>
        <w:rPr>
          <w:rFonts w:hint="eastAsia"/>
          <w:color w:val="auto"/>
        </w:rPr>
        <w:t xml:space="preserve">  对可能出现的薄弱部位应采取有效的加强措施。</w:t>
      </w:r>
    </w:p>
    <w:p w14:paraId="33F367BC">
      <w:pPr>
        <w:snapToGrid w:val="0"/>
        <w:rPr>
          <w:color w:val="auto"/>
        </w:rPr>
      </w:pPr>
      <w:r>
        <w:rPr>
          <w:rStyle w:val="22"/>
          <w:color w:val="auto"/>
        </w:rPr>
        <w:t>5.</w:t>
      </w:r>
      <w:r>
        <w:rPr>
          <w:rStyle w:val="22"/>
          <w:rFonts w:hint="eastAsia"/>
          <w:color w:val="auto"/>
        </w:rPr>
        <w:t>2</w:t>
      </w:r>
      <w:r>
        <w:rPr>
          <w:rStyle w:val="22"/>
          <w:color w:val="auto"/>
        </w:rPr>
        <w:t>.</w:t>
      </w:r>
      <w:r>
        <w:rPr>
          <w:rStyle w:val="22"/>
          <w:rFonts w:hint="eastAsia"/>
          <w:color w:val="auto"/>
        </w:rPr>
        <w:t>3</w:t>
      </w:r>
      <w:r>
        <w:rPr>
          <w:color w:val="auto"/>
        </w:rPr>
        <w:t>  </w:t>
      </w:r>
      <w:r>
        <w:rPr>
          <w:rFonts w:hint="eastAsia"/>
          <w:color w:val="auto"/>
        </w:rPr>
        <w:t>注仓式自保温装配式农房的结构布置应符合下列要求：</w:t>
      </w:r>
    </w:p>
    <w:p w14:paraId="4296A65F">
      <w:pPr>
        <w:snapToGrid w:val="0"/>
        <w:ind w:firstLine="482" w:firstLineChars="200"/>
        <w:rPr>
          <w:color w:val="auto"/>
        </w:rPr>
      </w:pPr>
      <w:r>
        <w:rPr>
          <w:rFonts w:hint="eastAsia"/>
          <w:b/>
          <w:bCs/>
          <w:color w:val="auto"/>
        </w:rPr>
        <w:t>1</w:t>
      </w:r>
      <w:r>
        <w:rPr>
          <w:rFonts w:hint="eastAsia"/>
          <w:color w:val="auto"/>
        </w:rPr>
        <w:t xml:space="preserve">  结构的竖向和水平布置宜使结构具有合理的刚度和承载力分布，避免因刚度和承载力突变或结构扭转效应而形成薄弱部位；</w:t>
      </w:r>
    </w:p>
    <w:p w14:paraId="1841CD61">
      <w:pPr>
        <w:snapToGrid w:val="0"/>
        <w:ind w:firstLine="482" w:firstLineChars="200"/>
        <w:rPr>
          <w:color w:val="auto"/>
        </w:rPr>
      </w:pPr>
      <w:r>
        <w:rPr>
          <w:rFonts w:hint="eastAsia"/>
          <w:b/>
          <w:bCs/>
          <w:color w:val="auto"/>
        </w:rPr>
        <w:t>2</w:t>
      </w:r>
      <w:r>
        <w:rPr>
          <w:rFonts w:hint="eastAsia"/>
          <w:color w:val="auto"/>
        </w:rPr>
        <w:t xml:space="preserve">  结构传力直接简单，应具有明确的计算简图和合理的地震作用传递途径，当设置伸缩缝、防震缝或沉降缝时，应满足相应的功能要求；</w:t>
      </w:r>
    </w:p>
    <w:p w14:paraId="777585E2">
      <w:pPr>
        <w:snapToGrid w:val="0"/>
        <w:ind w:firstLine="482" w:firstLineChars="200"/>
        <w:rPr>
          <w:color w:val="auto"/>
        </w:rPr>
      </w:pPr>
      <w:r>
        <w:rPr>
          <w:rFonts w:hint="eastAsia"/>
          <w:b/>
          <w:bCs/>
          <w:color w:val="auto"/>
        </w:rPr>
        <w:t>3</w:t>
      </w:r>
      <w:r>
        <w:rPr>
          <w:rFonts w:hint="eastAsia"/>
          <w:color w:val="auto"/>
        </w:rPr>
        <w:t xml:space="preserve">  结构布置应与建筑设计相协调，结构体系中梁、柱、支撑等水平抗侧力构件布置，均宜经比选、优化确定；</w:t>
      </w:r>
    </w:p>
    <w:p w14:paraId="464236EF">
      <w:pPr>
        <w:snapToGrid w:val="0"/>
        <w:ind w:firstLine="482" w:firstLineChars="200"/>
        <w:rPr>
          <w:color w:val="auto"/>
        </w:rPr>
      </w:pPr>
      <w:r>
        <w:rPr>
          <w:rFonts w:hint="eastAsia"/>
          <w:b/>
          <w:bCs/>
          <w:color w:val="auto"/>
        </w:rPr>
        <w:t>4</w:t>
      </w:r>
      <w:r>
        <w:rPr>
          <w:rFonts w:hint="eastAsia"/>
          <w:color w:val="auto"/>
        </w:rPr>
        <w:t xml:space="preserve">  应具备必要的刚度和承载力、良好的变形能力、耗能能力和稳定能力。</w:t>
      </w:r>
    </w:p>
    <w:p w14:paraId="1430C2B5">
      <w:pPr>
        <w:rPr>
          <w:color w:val="auto"/>
        </w:rPr>
      </w:pPr>
      <w:r>
        <w:rPr>
          <w:rStyle w:val="22"/>
          <w:color w:val="auto"/>
        </w:rPr>
        <w:t>5.</w:t>
      </w:r>
      <w:r>
        <w:rPr>
          <w:rStyle w:val="22"/>
          <w:rFonts w:hint="eastAsia"/>
          <w:color w:val="auto"/>
        </w:rPr>
        <w:t>2</w:t>
      </w:r>
      <w:r>
        <w:rPr>
          <w:rStyle w:val="22"/>
          <w:color w:val="auto"/>
        </w:rPr>
        <w:t>.</w:t>
      </w:r>
      <w:r>
        <w:rPr>
          <w:rStyle w:val="22"/>
          <w:rFonts w:hint="eastAsia"/>
          <w:color w:val="auto"/>
        </w:rPr>
        <w:t>4</w:t>
      </w:r>
      <w:r>
        <w:rPr>
          <w:color w:val="auto"/>
        </w:rPr>
        <w:t>  </w:t>
      </w:r>
      <w:r>
        <w:rPr>
          <w:rFonts w:hint="eastAsia"/>
          <w:color w:val="auto"/>
        </w:rPr>
        <w:t>在风荷载或多遇地震标准值作用下，注仓式自保温装配式农房弹性层间位移角应满足下列要求：</w:t>
      </w:r>
    </w:p>
    <w:p w14:paraId="4B9E5542">
      <w:pPr>
        <w:ind w:firstLine="482" w:firstLineChars="200"/>
        <w:rPr>
          <w:color w:val="auto"/>
        </w:rPr>
      </w:pPr>
      <w:r>
        <w:rPr>
          <w:rFonts w:hint="eastAsia"/>
          <w:b/>
          <w:bCs/>
          <w:color w:val="auto"/>
        </w:rPr>
        <w:t>1</w:t>
      </w:r>
      <w:r>
        <w:rPr>
          <w:rFonts w:hint="eastAsia"/>
          <w:color w:val="auto"/>
        </w:rPr>
        <w:t xml:space="preserve">  钢筋混凝土框架结构不应大于1/550；</w:t>
      </w:r>
    </w:p>
    <w:p w14:paraId="68B3B1D0">
      <w:pPr>
        <w:ind w:firstLine="482" w:firstLineChars="200"/>
        <w:rPr>
          <w:color w:val="auto"/>
        </w:rPr>
      </w:pPr>
      <w:r>
        <w:rPr>
          <w:rFonts w:hint="eastAsia"/>
          <w:b/>
          <w:bCs/>
          <w:color w:val="auto"/>
        </w:rPr>
        <w:t>2</w:t>
      </w:r>
      <w:r>
        <w:rPr>
          <w:rFonts w:hint="eastAsia"/>
          <w:color w:val="auto"/>
        </w:rPr>
        <w:t xml:space="preserve">  钢框架结构不应大于1/250。</w:t>
      </w:r>
    </w:p>
    <w:p w14:paraId="1B378C8A">
      <w:pPr>
        <w:rPr>
          <w:color w:val="auto"/>
        </w:rPr>
      </w:pPr>
      <w:r>
        <w:rPr>
          <w:rStyle w:val="22"/>
          <w:color w:val="auto"/>
        </w:rPr>
        <w:t>5.2.5</w:t>
      </w:r>
      <w:r>
        <w:rPr>
          <w:rStyle w:val="22"/>
          <w:rFonts w:hint="eastAsia"/>
          <w:color w:val="auto"/>
        </w:rPr>
        <w:t xml:space="preserve">  </w:t>
      </w:r>
      <w:r>
        <w:rPr>
          <w:rFonts w:hint="eastAsia"/>
          <w:color w:val="auto"/>
        </w:rPr>
        <w:t>楼板可采用现浇楼板和预制楼板，其设计应符合现行国家标准《混凝土结构设计标准》GB/T 50010的有关规定。</w:t>
      </w:r>
    </w:p>
    <w:p w14:paraId="0550ECE3">
      <w:pPr>
        <w:pStyle w:val="7"/>
        <w:rPr>
          <w:color w:val="auto"/>
        </w:rPr>
      </w:pPr>
      <w:r>
        <w:rPr>
          <w:rStyle w:val="22"/>
          <w:color w:val="auto"/>
        </w:rPr>
        <w:t>5.2.6</w:t>
      </w:r>
      <w:r>
        <w:rPr>
          <w:rStyle w:val="22"/>
          <w:rFonts w:hint="eastAsia"/>
          <w:color w:val="auto"/>
        </w:rPr>
        <w:t xml:space="preserve">  </w:t>
      </w:r>
      <w:r>
        <w:rPr>
          <w:rFonts w:hint="eastAsia"/>
          <w:color w:val="auto"/>
        </w:rPr>
        <w:t>楼梯可采用现浇混凝土楼梯、预制混凝土板式楼梯或预制钢结构楼梯，其设计应符合现行国家标准《混凝土结构设计标准》GB/T 50010、《钢结构设计标准》GB 50017的有关规定。</w:t>
      </w:r>
    </w:p>
    <w:p w14:paraId="5766ED0E">
      <w:pPr>
        <w:pStyle w:val="7"/>
        <w:rPr>
          <w:rFonts w:hint="eastAsia"/>
          <w:color w:val="auto"/>
        </w:rPr>
      </w:pPr>
    </w:p>
    <w:p w14:paraId="1083FA33">
      <w:pPr>
        <w:pStyle w:val="3"/>
        <w:snapToGrid w:val="0"/>
        <w:rPr>
          <w:color w:val="auto"/>
        </w:rPr>
      </w:pPr>
      <w:bookmarkStart w:id="125" w:name="_Toc16679"/>
      <w:r>
        <w:rPr>
          <w:color w:val="auto"/>
        </w:rPr>
        <w:t>5.3  </w:t>
      </w:r>
      <w:r>
        <w:rPr>
          <w:rFonts w:hint="eastAsia"/>
          <w:color w:val="auto"/>
        </w:rPr>
        <w:t>基础设计</w:t>
      </w:r>
      <w:bookmarkEnd w:id="125"/>
    </w:p>
    <w:p w14:paraId="07926DFE">
      <w:pPr>
        <w:keepNext w:val="0"/>
        <w:keepLines w:val="0"/>
        <w:pageBreakBefore w:val="0"/>
        <w:widowControl w:val="0"/>
        <w:kinsoku/>
        <w:wordWrap/>
        <w:overflowPunct/>
        <w:topLinePunct w:val="0"/>
        <w:autoSpaceDE/>
        <w:autoSpaceDN/>
        <w:bidi w:val="0"/>
        <w:adjustRightInd/>
        <w:snapToGrid/>
        <w:textAlignment w:val="auto"/>
        <w:rPr>
          <w:color w:val="auto"/>
          <w:kern w:val="0"/>
        </w:rPr>
      </w:pPr>
      <w:r>
        <w:rPr>
          <w:b/>
          <w:color w:val="auto"/>
        </w:rPr>
        <w:t>5.3.1</w:t>
      </w:r>
      <w:r>
        <w:rPr>
          <w:color w:val="auto"/>
        </w:rPr>
        <w:t xml:space="preserve">  </w:t>
      </w:r>
      <w:r>
        <w:rPr>
          <w:rFonts w:hint="eastAsia"/>
          <w:color w:val="auto"/>
          <w:kern w:val="0"/>
        </w:rPr>
        <w:t>地基基础设计应符合国家现行标准《</w:t>
      </w:r>
      <w:r>
        <w:rPr>
          <w:bCs/>
          <w:color w:val="auto"/>
          <w:kern w:val="0"/>
        </w:rPr>
        <w:t>建筑与市政地基基础通用规范</w:t>
      </w:r>
      <w:r>
        <w:rPr>
          <w:rFonts w:hint="eastAsia"/>
          <w:color w:val="auto"/>
          <w:kern w:val="0"/>
        </w:rPr>
        <w:t>》</w:t>
      </w:r>
      <w:r>
        <w:rPr>
          <w:bCs/>
          <w:color w:val="auto"/>
          <w:kern w:val="0"/>
        </w:rPr>
        <w:t>GB 55003、</w:t>
      </w:r>
      <w:r>
        <w:rPr>
          <w:rFonts w:hint="eastAsia"/>
          <w:color w:val="auto"/>
          <w:kern w:val="0"/>
        </w:rPr>
        <w:t>《建筑地基基础设计规范》GB</w:t>
      </w:r>
      <w:r>
        <w:rPr>
          <w:color w:val="auto"/>
          <w:kern w:val="0"/>
        </w:rPr>
        <w:t xml:space="preserve"> </w:t>
      </w:r>
      <w:r>
        <w:rPr>
          <w:rFonts w:hint="eastAsia"/>
          <w:color w:val="auto"/>
          <w:kern w:val="0"/>
        </w:rPr>
        <w:t>50007、《岩土工程勘察规范》GB</w:t>
      </w:r>
      <w:r>
        <w:rPr>
          <w:color w:val="auto"/>
          <w:kern w:val="0"/>
        </w:rPr>
        <w:t xml:space="preserve"> </w:t>
      </w:r>
      <w:r>
        <w:rPr>
          <w:rFonts w:hint="eastAsia"/>
          <w:color w:val="auto"/>
          <w:kern w:val="0"/>
        </w:rPr>
        <w:t>50021及《建筑地基处理技术规范》JGJ</w:t>
      </w:r>
      <w:r>
        <w:rPr>
          <w:color w:val="auto"/>
          <w:kern w:val="0"/>
        </w:rPr>
        <w:t xml:space="preserve"> </w:t>
      </w:r>
      <w:r>
        <w:rPr>
          <w:rFonts w:hint="eastAsia"/>
          <w:color w:val="auto"/>
          <w:kern w:val="0"/>
        </w:rPr>
        <w:t>79的有关规定。</w:t>
      </w:r>
    </w:p>
    <w:p w14:paraId="65A56679">
      <w:pPr>
        <w:keepNext w:val="0"/>
        <w:keepLines w:val="0"/>
        <w:pageBreakBefore w:val="0"/>
        <w:widowControl w:val="0"/>
        <w:kinsoku/>
        <w:wordWrap/>
        <w:overflowPunct/>
        <w:topLinePunct w:val="0"/>
        <w:autoSpaceDE/>
        <w:autoSpaceDN/>
        <w:bidi w:val="0"/>
        <w:adjustRightInd/>
        <w:snapToGrid/>
        <w:textAlignment w:val="auto"/>
        <w:rPr>
          <w:color w:val="auto"/>
          <w:kern w:val="0"/>
        </w:rPr>
      </w:pPr>
      <w:r>
        <w:rPr>
          <w:b/>
          <w:color w:val="auto"/>
        </w:rPr>
        <w:t>5.3.2</w:t>
      </w:r>
      <w:r>
        <w:rPr>
          <w:color w:val="auto"/>
        </w:rPr>
        <w:t xml:space="preserve">  </w:t>
      </w:r>
      <w:r>
        <w:rPr>
          <w:rFonts w:hint="eastAsia"/>
          <w:color w:val="auto"/>
          <w:kern w:val="0"/>
        </w:rPr>
        <w:t>基础埋置深度不宜小于</w:t>
      </w:r>
      <w:r>
        <w:rPr>
          <w:color w:val="auto"/>
          <w:kern w:val="0"/>
        </w:rPr>
        <w:t>7</w:t>
      </w:r>
      <w:r>
        <w:rPr>
          <w:rFonts w:hint="eastAsia"/>
          <w:color w:val="auto"/>
          <w:kern w:val="0"/>
        </w:rPr>
        <w:t>00mm，在满足地基承载力、稳定和变形条件下，基础宜浅埋。基底应进入地基持力层不小于150mm，基底垫层厚度不应小于100mm。</w:t>
      </w:r>
    </w:p>
    <w:p w14:paraId="61C24A91">
      <w:pPr>
        <w:pStyle w:val="7"/>
        <w:keepNext w:val="0"/>
        <w:keepLines w:val="0"/>
        <w:pageBreakBefore w:val="0"/>
        <w:widowControl w:val="0"/>
        <w:kinsoku/>
        <w:wordWrap/>
        <w:overflowPunct/>
        <w:topLinePunct w:val="0"/>
        <w:autoSpaceDE/>
        <w:autoSpaceDN/>
        <w:bidi w:val="0"/>
        <w:adjustRightInd/>
        <w:snapToGrid/>
        <w:spacing w:after="0"/>
        <w:textAlignment w:val="auto"/>
        <w:rPr>
          <w:color w:val="auto"/>
        </w:rPr>
      </w:pPr>
      <w:r>
        <w:rPr>
          <w:b/>
          <w:color w:val="auto"/>
        </w:rPr>
        <w:t>5.3.3</w:t>
      </w:r>
      <w:r>
        <w:rPr>
          <w:rFonts w:hint="eastAsia"/>
          <w:b/>
          <w:color w:val="auto"/>
          <w:lang w:val="en-US" w:eastAsia="zh-CN"/>
        </w:rPr>
        <w:t xml:space="preserve">  </w:t>
      </w:r>
      <w:r>
        <w:rPr>
          <w:rFonts w:hint="eastAsia" w:ascii="宋体" w:hAnsi="宋体"/>
          <w:color w:val="auto"/>
        </w:rPr>
        <w:t>当天然地基遇有不良土质不能满足地基承载力和变形等设计要求，或需要利用冲填土、杂填土、淤泥质土、素填土等软弱土层作为地基持力层时，地基应采用换填法等方</w:t>
      </w:r>
      <w:r>
        <w:rPr>
          <w:rFonts w:hint="eastAsia" w:ascii="宋体" w:hAnsi="宋体"/>
          <w:color w:val="auto"/>
          <w:lang w:eastAsia="zh-CN"/>
        </w:rPr>
        <w:t>式</w:t>
      </w:r>
      <w:r>
        <w:rPr>
          <w:rFonts w:hint="eastAsia" w:ascii="宋体" w:hAnsi="宋体"/>
          <w:color w:val="auto"/>
        </w:rPr>
        <w:t>处理。同一结构单元应采用同一种地基处理方法。</w:t>
      </w:r>
    </w:p>
    <w:p w14:paraId="03A10C78">
      <w:pPr>
        <w:keepNext w:val="0"/>
        <w:keepLines w:val="0"/>
        <w:pageBreakBefore w:val="0"/>
        <w:widowControl w:val="0"/>
        <w:kinsoku/>
        <w:wordWrap/>
        <w:overflowPunct/>
        <w:topLinePunct w:val="0"/>
        <w:autoSpaceDE/>
        <w:autoSpaceDN/>
        <w:bidi w:val="0"/>
        <w:adjustRightInd/>
        <w:snapToGrid/>
        <w:textAlignment w:val="auto"/>
        <w:rPr>
          <w:color w:val="auto"/>
          <w:kern w:val="0"/>
        </w:rPr>
      </w:pPr>
      <w:r>
        <w:rPr>
          <w:b/>
          <w:color w:val="auto"/>
        </w:rPr>
        <w:t>5.3.4</w:t>
      </w:r>
      <w:r>
        <w:rPr>
          <w:color w:val="auto"/>
        </w:rPr>
        <w:t xml:space="preserve">  </w:t>
      </w:r>
      <w:r>
        <w:rPr>
          <w:rFonts w:hint="eastAsia"/>
          <w:color w:val="auto"/>
          <w:kern w:val="0"/>
        </w:rPr>
        <w:t>建筑物基础一般采用条形基础，也可采用筏形基础或桩基础。当采用浅基础时，室内外管网的连接应考虑地基变形产生的影响。</w:t>
      </w:r>
    </w:p>
    <w:p w14:paraId="08929200">
      <w:pPr>
        <w:rPr>
          <w:color w:val="auto"/>
          <w:kern w:val="0"/>
        </w:rPr>
      </w:pPr>
      <w:r>
        <w:rPr>
          <w:b/>
          <w:color w:val="auto"/>
        </w:rPr>
        <w:t>5.3.5</w:t>
      </w:r>
      <w:r>
        <w:rPr>
          <w:color w:val="auto"/>
        </w:rPr>
        <w:t xml:space="preserve">  </w:t>
      </w:r>
      <w:r>
        <w:rPr>
          <w:rFonts w:hint="eastAsia"/>
          <w:color w:val="auto"/>
          <w:kern w:val="0"/>
        </w:rPr>
        <w:t>条形基础的宽</w:t>
      </w:r>
      <w:r>
        <w:rPr>
          <w:color w:val="auto"/>
          <w:kern w:val="0"/>
        </w:rPr>
        <w:t>度不宜小于500mm</w:t>
      </w:r>
      <w:r>
        <w:rPr>
          <w:rFonts w:hint="eastAsia"/>
          <w:color w:val="auto"/>
          <w:kern w:val="0"/>
          <w:lang w:eastAsia="zh-CN"/>
        </w:rPr>
        <w:t>；</w:t>
      </w:r>
      <w:r>
        <w:rPr>
          <w:color w:val="auto"/>
          <w:kern w:val="0"/>
        </w:rPr>
        <w:t>筏形基础底板厚度不宜小于400mm，受力钢筋直径不宜小于12mm，间距不宜小于150mm，也不宜大于300mm。</w:t>
      </w:r>
    </w:p>
    <w:p w14:paraId="6CDE5892">
      <w:pPr>
        <w:rPr>
          <w:color w:val="auto"/>
        </w:rPr>
      </w:pPr>
      <w:r>
        <w:rPr>
          <w:b/>
          <w:color w:val="auto"/>
        </w:rPr>
        <w:t>5.3.6</w:t>
      </w:r>
      <w:r>
        <w:rPr>
          <w:color w:val="auto"/>
        </w:rPr>
        <w:t xml:space="preserve">  </w:t>
      </w:r>
      <w:r>
        <w:rPr>
          <w:color w:val="auto"/>
          <w:kern w:val="0"/>
        </w:rPr>
        <w:t>当采用砌体基础时，基础顶部应设置圈梁，圈梁高不应小于200mm，混凝土强度等级不应低于C25，圈梁内配置</w:t>
      </w:r>
      <w:r>
        <w:rPr>
          <w:rFonts w:hint="eastAsia"/>
          <w:color w:val="auto"/>
          <w:kern w:val="0"/>
          <w:lang w:eastAsia="zh-CN"/>
        </w:rPr>
        <w:t>的纵筋不</w:t>
      </w:r>
      <w:r>
        <w:rPr>
          <w:color w:val="auto"/>
          <w:kern w:val="0"/>
        </w:rPr>
        <w:t>应小于4Ф12</w:t>
      </w:r>
      <w:r>
        <w:rPr>
          <w:rFonts w:hint="eastAsia"/>
          <w:color w:val="auto"/>
          <w:kern w:val="0"/>
          <w:lang w:eastAsia="zh-CN"/>
        </w:rPr>
        <w:t>，箍</w:t>
      </w:r>
      <w:r>
        <w:rPr>
          <w:color w:val="auto"/>
          <w:kern w:val="0"/>
        </w:rPr>
        <w:t>筋</w:t>
      </w:r>
      <w:r>
        <w:rPr>
          <w:rFonts w:hint="eastAsia"/>
          <w:color w:val="auto"/>
          <w:kern w:val="0"/>
          <w:lang w:eastAsia="zh-CN"/>
        </w:rPr>
        <w:t>不应小于</w:t>
      </w:r>
      <w:r>
        <w:rPr>
          <w:color w:val="auto"/>
          <w:kern w:val="0"/>
        </w:rPr>
        <w:t>Ф6@</w:t>
      </w:r>
      <w:r>
        <w:rPr>
          <w:rFonts w:hint="eastAsia"/>
          <w:color w:val="auto"/>
          <w:kern w:val="0"/>
          <w:lang w:eastAsia="zh-CN"/>
        </w:rPr>
        <w:t>200</w:t>
      </w:r>
      <w:r>
        <w:rPr>
          <w:color w:val="auto"/>
          <w:kern w:val="0"/>
        </w:rPr>
        <w:t>。</w:t>
      </w:r>
    </w:p>
    <w:p w14:paraId="5B5890A4">
      <w:bookmarkStart w:id="126" w:name="_Toc24266"/>
      <w:bookmarkStart w:id="127" w:name="_Toc32353"/>
      <w:bookmarkStart w:id="128" w:name="_Toc30871"/>
      <w:bookmarkStart w:id="129" w:name="_Toc8265"/>
      <w:bookmarkStart w:id="130" w:name="_Toc174732750"/>
      <w:r>
        <w:br w:type="page"/>
      </w:r>
    </w:p>
    <w:bookmarkEnd w:id="126"/>
    <w:bookmarkEnd w:id="127"/>
    <w:bookmarkEnd w:id="128"/>
    <w:bookmarkEnd w:id="129"/>
    <w:bookmarkEnd w:id="130"/>
    <w:p w14:paraId="4D134ACC">
      <w:pPr>
        <w:pStyle w:val="2"/>
      </w:pPr>
      <w:bookmarkStart w:id="131" w:name="_Toc24038"/>
      <w:bookmarkStart w:id="132" w:name="_Toc3533"/>
      <w:bookmarkStart w:id="133" w:name="_Toc28055"/>
      <w:bookmarkStart w:id="134" w:name="_Toc22058"/>
      <w:bookmarkStart w:id="135" w:name="_Toc22193"/>
      <w:r>
        <w:t>6  机电设计</w:t>
      </w:r>
      <w:bookmarkEnd w:id="131"/>
    </w:p>
    <w:p w14:paraId="5FE5BC65">
      <w:pPr>
        <w:pStyle w:val="3"/>
        <w:snapToGrid w:val="0"/>
      </w:pPr>
      <w:bookmarkStart w:id="136" w:name="_Toc5652"/>
      <w:r>
        <w:t>6.1  一般规定</w:t>
      </w:r>
      <w:bookmarkEnd w:id="136"/>
    </w:p>
    <w:p w14:paraId="3E8E0F56">
      <w:pPr>
        <w:autoSpaceDE w:val="0"/>
        <w:autoSpaceDN w:val="0"/>
        <w:adjustRightInd w:val="0"/>
        <w:rPr>
          <w:color w:val="auto"/>
          <w:kern w:val="0"/>
        </w:rPr>
      </w:pPr>
      <w:r>
        <w:rPr>
          <w:rStyle w:val="22"/>
          <w:rFonts w:hint="eastAsia"/>
          <w:color w:val="auto"/>
        </w:rPr>
        <w:t>6</w:t>
      </w:r>
      <w:r>
        <w:rPr>
          <w:b/>
          <w:color w:val="auto"/>
        </w:rPr>
        <w:t>.1</w:t>
      </w:r>
      <w:r>
        <w:rPr>
          <w:rFonts w:hint="eastAsia"/>
          <w:b/>
          <w:color w:val="auto"/>
        </w:rPr>
        <w:t>.</w:t>
      </w:r>
      <w:r>
        <w:rPr>
          <w:b/>
          <w:color w:val="auto"/>
        </w:rPr>
        <w:t xml:space="preserve">1 </w:t>
      </w:r>
      <w:r>
        <w:rPr>
          <w:rFonts w:hint="eastAsia"/>
          <w:b/>
          <w:color w:val="auto"/>
          <w:lang w:val="en-US" w:eastAsia="zh-CN"/>
        </w:rPr>
        <w:t xml:space="preserve"> </w:t>
      </w:r>
      <w:r>
        <w:rPr>
          <w:b w:val="0"/>
          <w:bCs/>
          <w:color w:val="auto"/>
        </w:rPr>
        <w:t>机电系统的设计</w:t>
      </w:r>
      <w:r>
        <w:rPr>
          <w:rFonts w:hint="eastAsia"/>
          <w:bCs/>
          <w:color w:val="auto"/>
        </w:rPr>
        <w:t>应结合</w:t>
      </w:r>
      <w:r>
        <w:rPr>
          <w:color w:val="auto"/>
          <w:kern w:val="0"/>
        </w:rPr>
        <w:t>当地气候条件及建筑设计节能</w:t>
      </w:r>
      <w:r>
        <w:rPr>
          <w:rFonts w:hint="eastAsia"/>
          <w:color w:val="auto"/>
          <w:kern w:val="0"/>
        </w:rPr>
        <w:t>要求综合确定，并应符合现行国家标准的相关规定</w:t>
      </w:r>
      <w:r>
        <w:rPr>
          <w:color w:val="auto"/>
          <w:kern w:val="0"/>
        </w:rPr>
        <w:t>。</w:t>
      </w:r>
    </w:p>
    <w:p w14:paraId="6AEF1E9F">
      <w:pPr>
        <w:rPr>
          <w:color w:val="auto"/>
        </w:rPr>
      </w:pPr>
      <w:r>
        <w:rPr>
          <w:rFonts w:hint="eastAsia"/>
          <w:b/>
          <w:color w:val="auto"/>
        </w:rPr>
        <w:t>6</w:t>
      </w:r>
      <w:r>
        <w:rPr>
          <w:b/>
          <w:color w:val="auto"/>
        </w:rPr>
        <w:t>.1.2</w:t>
      </w:r>
      <w:r>
        <w:rPr>
          <w:rFonts w:hint="eastAsia"/>
          <w:b/>
          <w:color w:val="auto"/>
          <w:lang w:val="en-US" w:eastAsia="zh-CN"/>
        </w:rPr>
        <w:t xml:space="preserve"> </w:t>
      </w:r>
      <w:r>
        <w:rPr>
          <w:rFonts w:hint="eastAsia"/>
          <w:b/>
          <w:color w:val="auto"/>
        </w:rPr>
        <w:t xml:space="preserve"> </w:t>
      </w:r>
      <w:r>
        <w:rPr>
          <w:color w:val="auto"/>
        </w:rPr>
        <w:t>设备与管线系统</w:t>
      </w:r>
      <w:r>
        <w:rPr>
          <w:rFonts w:hint="eastAsia"/>
          <w:color w:val="auto"/>
        </w:rPr>
        <w:t>应选型</w:t>
      </w:r>
      <w:r>
        <w:rPr>
          <w:color w:val="auto"/>
        </w:rPr>
        <w:t>合理</w:t>
      </w:r>
      <w:r>
        <w:rPr>
          <w:rFonts w:hint="eastAsia"/>
          <w:color w:val="auto"/>
        </w:rPr>
        <w:t>、</w:t>
      </w:r>
      <w:r>
        <w:rPr>
          <w:color w:val="auto"/>
        </w:rPr>
        <w:t>定位</w:t>
      </w:r>
      <w:r>
        <w:rPr>
          <w:rFonts w:hint="eastAsia"/>
          <w:color w:val="auto"/>
        </w:rPr>
        <w:t>准确，机电设计</w:t>
      </w:r>
      <w:r>
        <w:rPr>
          <w:color w:val="auto"/>
        </w:rPr>
        <w:t>不得影响主体结构安全。</w:t>
      </w:r>
    </w:p>
    <w:p w14:paraId="7276A56E">
      <w:pPr>
        <w:rPr>
          <w:color w:val="auto"/>
        </w:rPr>
      </w:pPr>
      <w:r>
        <w:rPr>
          <w:rFonts w:hint="eastAsia"/>
          <w:b/>
          <w:color w:val="auto"/>
        </w:rPr>
        <w:t>6</w:t>
      </w:r>
      <w:r>
        <w:rPr>
          <w:b/>
          <w:color w:val="auto"/>
        </w:rPr>
        <w:t>.1.</w:t>
      </w:r>
      <w:r>
        <w:rPr>
          <w:rFonts w:hint="eastAsia"/>
          <w:b/>
          <w:color w:val="auto"/>
        </w:rPr>
        <w:t>3</w:t>
      </w:r>
      <w:r>
        <w:rPr>
          <w:b/>
          <w:color w:val="auto"/>
        </w:rPr>
        <w:t xml:space="preserve"> </w:t>
      </w:r>
      <w:r>
        <w:rPr>
          <w:rFonts w:hint="eastAsia"/>
          <w:b/>
          <w:color w:val="auto"/>
          <w:lang w:val="en-US" w:eastAsia="zh-CN"/>
        </w:rPr>
        <w:t xml:space="preserve"> </w:t>
      </w:r>
      <w:r>
        <w:rPr>
          <w:color w:val="auto"/>
        </w:rPr>
        <w:t>设备与管线</w:t>
      </w:r>
      <w:r>
        <w:rPr>
          <w:rFonts w:hint="eastAsia"/>
          <w:color w:val="auto"/>
        </w:rPr>
        <w:t>穿越</w:t>
      </w:r>
      <w:r>
        <w:rPr>
          <w:color w:val="auto"/>
        </w:rPr>
        <w:t>墙体、楼板、屋面</w:t>
      </w:r>
      <w:r>
        <w:rPr>
          <w:rFonts w:hint="eastAsia"/>
          <w:color w:val="auto"/>
        </w:rPr>
        <w:t>板</w:t>
      </w:r>
      <w:r>
        <w:rPr>
          <w:color w:val="auto"/>
        </w:rPr>
        <w:t>时，应采取防水、防火、隔声、隔热</w:t>
      </w:r>
      <w:r>
        <w:rPr>
          <w:rFonts w:hint="eastAsia"/>
          <w:color w:val="auto"/>
        </w:rPr>
        <w:t>等</w:t>
      </w:r>
      <w:r>
        <w:rPr>
          <w:color w:val="auto"/>
        </w:rPr>
        <w:t>措施。</w:t>
      </w:r>
    </w:p>
    <w:p w14:paraId="4CB56DE9">
      <w:pPr>
        <w:rPr>
          <w:color w:val="auto"/>
        </w:rPr>
      </w:pPr>
      <w:r>
        <w:rPr>
          <w:rFonts w:hint="eastAsia"/>
          <w:b/>
          <w:color w:val="auto"/>
        </w:rPr>
        <w:t>6</w:t>
      </w:r>
      <w:r>
        <w:rPr>
          <w:b/>
          <w:color w:val="auto"/>
        </w:rPr>
        <w:t>.1.</w:t>
      </w:r>
      <w:r>
        <w:rPr>
          <w:rFonts w:hint="eastAsia"/>
          <w:b/>
          <w:color w:val="auto"/>
        </w:rPr>
        <w:t>4</w:t>
      </w:r>
      <w:r>
        <w:rPr>
          <w:b/>
          <w:color w:val="auto"/>
        </w:rPr>
        <w:t xml:space="preserve"> </w:t>
      </w:r>
      <w:r>
        <w:rPr>
          <w:rFonts w:hint="eastAsia"/>
          <w:b/>
          <w:color w:val="auto"/>
          <w:lang w:val="en-US" w:eastAsia="zh-CN"/>
        </w:rPr>
        <w:t xml:space="preserve"> </w:t>
      </w:r>
      <w:r>
        <w:rPr>
          <w:color w:val="auto"/>
        </w:rPr>
        <w:t>设备与管线安装应满足结构设计要求，当管线穿越</w:t>
      </w:r>
      <w:r>
        <w:rPr>
          <w:rFonts w:hint="eastAsia"/>
          <w:color w:val="auto"/>
        </w:rPr>
        <w:t>结构</w:t>
      </w:r>
      <w:r>
        <w:rPr>
          <w:color w:val="auto"/>
        </w:rPr>
        <w:t>构</w:t>
      </w:r>
      <w:r>
        <w:rPr>
          <w:rFonts w:hint="eastAsia"/>
          <w:color w:val="auto"/>
        </w:rPr>
        <w:t>件</w:t>
      </w:r>
      <w:r>
        <w:rPr>
          <w:color w:val="auto"/>
        </w:rPr>
        <w:t>时应预留相应的沟、槽、孔洞或套管。</w:t>
      </w:r>
      <w:r>
        <w:rPr>
          <w:rFonts w:hint="eastAsia"/>
          <w:color w:val="auto"/>
        </w:rPr>
        <w:t>主体结构浇筑或安装完成后，</w:t>
      </w:r>
      <w:r>
        <w:rPr>
          <w:color w:val="auto"/>
        </w:rPr>
        <w:t>不应随意开槽、钻孔、打洞。</w:t>
      </w:r>
    </w:p>
    <w:p w14:paraId="1CB541B8">
      <w:pPr>
        <w:pStyle w:val="7"/>
        <w:rPr>
          <w:rFonts w:hint="eastAsia"/>
          <w:color w:val="auto"/>
        </w:rPr>
      </w:pPr>
      <w:r>
        <w:rPr>
          <w:rFonts w:hint="eastAsia"/>
          <w:b/>
          <w:color w:val="auto"/>
        </w:rPr>
        <w:t>6</w:t>
      </w:r>
      <w:r>
        <w:rPr>
          <w:b/>
          <w:color w:val="auto"/>
        </w:rPr>
        <w:t>.1.</w:t>
      </w:r>
      <w:r>
        <w:rPr>
          <w:rFonts w:hint="eastAsia"/>
          <w:b/>
          <w:color w:val="auto"/>
        </w:rPr>
        <w:t>5</w:t>
      </w:r>
      <w:r>
        <w:rPr>
          <w:b/>
          <w:color w:val="auto"/>
        </w:rPr>
        <w:t xml:space="preserve"> </w:t>
      </w:r>
      <w:r>
        <w:rPr>
          <w:rFonts w:hint="eastAsia"/>
          <w:b/>
          <w:color w:val="auto"/>
          <w:lang w:eastAsia="zh-CN"/>
        </w:rPr>
        <w:t>在注</w:t>
      </w:r>
      <w:r>
        <w:rPr>
          <w:rFonts w:hint="eastAsia"/>
          <w:color w:val="auto"/>
        </w:rPr>
        <w:t>仓式自保温装配式农房中，配管与主管道之间、部品与配管之间及部品相互之间的连接接口宜标准化，并应满足安装、使用及维护的便捷性要求。</w:t>
      </w:r>
    </w:p>
    <w:p w14:paraId="6CC4AB7A">
      <w:pPr>
        <w:pStyle w:val="7"/>
        <w:rPr>
          <w:color w:val="auto"/>
        </w:rPr>
      </w:pPr>
    </w:p>
    <w:p w14:paraId="529D00EC">
      <w:pPr>
        <w:pStyle w:val="3"/>
        <w:snapToGrid w:val="0"/>
      </w:pPr>
      <w:bookmarkStart w:id="137" w:name="_Toc6462"/>
      <w:r>
        <w:t>6.2  </w:t>
      </w:r>
      <w:r>
        <w:rPr>
          <w:rFonts w:hint="eastAsia"/>
        </w:rPr>
        <w:t>给排水</w:t>
      </w:r>
      <w:r>
        <w:t>设计</w:t>
      </w:r>
      <w:bookmarkEnd w:id="137"/>
    </w:p>
    <w:p w14:paraId="2F330DE2">
      <w:pPr>
        <w:rPr>
          <w:color w:val="auto"/>
        </w:rPr>
      </w:pPr>
      <w:r>
        <w:rPr>
          <w:rStyle w:val="22"/>
          <w:color w:val="auto"/>
        </w:rPr>
        <w:t>6.2.</w:t>
      </w:r>
      <w:r>
        <w:rPr>
          <w:rStyle w:val="22"/>
          <w:rFonts w:hint="eastAsia"/>
          <w:color w:val="auto"/>
        </w:rPr>
        <w:t>1</w:t>
      </w:r>
      <w:r>
        <w:rPr>
          <w:color w:val="auto"/>
        </w:rPr>
        <w:t>  </w:t>
      </w:r>
      <w:r>
        <w:rPr>
          <w:rFonts w:hint="eastAsia"/>
          <w:color w:val="auto"/>
        </w:rPr>
        <w:t>注仓式自保温装配式农房给水排水设计应满足《四川省住宅设计标准》DBJ51/</w:t>
      </w:r>
      <w:r>
        <w:rPr>
          <w:rFonts w:hint="eastAsia"/>
          <w:color w:val="auto"/>
          <w:lang w:eastAsia="zh-CN"/>
        </w:rPr>
        <w:t>T 168</w:t>
      </w:r>
      <w:r>
        <w:rPr>
          <w:rFonts w:hint="eastAsia"/>
          <w:color w:val="auto"/>
        </w:rPr>
        <w:t>的相关</w:t>
      </w:r>
      <w:r>
        <w:rPr>
          <w:rFonts w:hint="eastAsia"/>
          <w:color w:val="auto"/>
          <w:lang w:val="en-US" w:eastAsia="zh-CN"/>
        </w:rPr>
        <w:t>规定</w:t>
      </w:r>
      <w:r>
        <w:rPr>
          <w:rFonts w:hint="eastAsia"/>
          <w:color w:val="auto"/>
        </w:rPr>
        <w:t>。</w:t>
      </w:r>
    </w:p>
    <w:p w14:paraId="54A85152">
      <w:pPr>
        <w:rPr>
          <w:color w:val="auto"/>
        </w:rPr>
      </w:pPr>
      <w:r>
        <w:rPr>
          <w:rStyle w:val="22"/>
          <w:rFonts w:hint="eastAsia"/>
          <w:color w:val="auto"/>
        </w:rPr>
        <w:t xml:space="preserve">6.2.2 </w:t>
      </w:r>
      <w:r>
        <w:rPr>
          <w:rFonts w:hint="eastAsia"/>
          <w:color w:val="auto"/>
        </w:rPr>
        <w:t xml:space="preserve"> 注仓式自保温装配式农房</w:t>
      </w:r>
      <w:r>
        <w:rPr>
          <w:rFonts w:hint="eastAsia"/>
          <w:color w:val="auto"/>
          <w:lang w:val="en-US" w:eastAsia="zh-CN"/>
        </w:rPr>
        <w:t>设计</w:t>
      </w:r>
      <w:r>
        <w:rPr>
          <w:rFonts w:hint="eastAsia"/>
          <w:color w:val="auto"/>
        </w:rPr>
        <w:t>选用的</w:t>
      </w:r>
      <w:r>
        <w:rPr>
          <w:color w:val="auto"/>
        </w:rPr>
        <w:t>给排水</w:t>
      </w:r>
      <w:r>
        <w:rPr>
          <w:rFonts w:hint="eastAsia"/>
          <w:color w:val="auto"/>
        </w:rPr>
        <w:t>器具设备应节水、节能</w:t>
      </w:r>
      <w:r>
        <w:rPr>
          <w:color w:val="auto"/>
        </w:rPr>
        <w:t>。</w:t>
      </w:r>
    </w:p>
    <w:p w14:paraId="584495CC">
      <w:pPr>
        <w:rPr>
          <w:color w:val="auto"/>
        </w:rPr>
      </w:pPr>
      <w:r>
        <w:rPr>
          <w:rFonts w:hint="eastAsia"/>
          <w:b/>
          <w:color w:val="auto"/>
        </w:rPr>
        <w:t>6.</w:t>
      </w:r>
      <w:r>
        <w:rPr>
          <w:b/>
          <w:color w:val="auto"/>
        </w:rPr>
        <w:t>2.</w:t>
      </w:r>
      <w:r>
        <w:rPr>
          <w:rFonts w:hint="eastAsia"/>
          <w:b/>
          <w:color w:val="auto"/>
        </w:rPr>
        <w:t>3</w:t>
      </w:r>
      <w:r>
        <w:rPr>
          <w:color w:val="auto"/>
        </w:rPr>
        <w:t xml:space="preserve">  排水立管</w:t>
      </w:r>
      <w:r>
        <w:rPr>
          <w:rFonts w:hint="eastAsia"/>
          <w:color w:val="auto"/>
        </w:rPr>
        <w:t>不宜设</w:t>
      </w:r>
      <w:r>
        <w:rPr>
          <w:color w:val="auto"/>
        </w:rPr>
        <w:t>在</w:t>
      </w:r>
      <w:r>
        <w:rPr>
          <w:rFonts w:hint="eastAsia"/>
          <w:color w:val="auto"/>
        </w:rPr>
        <w:t>与</w:t>
      </w:r>
      <w:r>
        <w:rPr>
          <w:color w:val="auto"/>
        </w:rPr>
        <w:t>卧室相邻的内墙</w:t>
      </w:r>
      <w:r>
        <w:rPr>
          <w:rFonts w:hint="eastAsia"/>
          <w:color w:val="auto"/>
        </w:rPr>
        <w:t>，因条件限制必须设置在</w:t>
      </w:r>
      <w:r>
        <w:rPr>
          <w:color w:val="auto"/>
        </w:rPr>
        <w:t>与卧室相邻的内墙</w:t>
      </w:r>
      <w:r>
        <w:rPr>
          <w:rFonts w:hint="eastAsia"/>
          <w:color w:val="auto"/>
        </w:rPr>
        <w:t>时，</w:t>
      </w:r>
      <w:r>
        <w:rPr>
          <w:color w:val="auto"/>
        </w:rPr>
        <w:t>应</w:t>
      </w:r>
      <w:r>
        <w:rPr>
          <w:rFonts w:hint="eastAsia"/>
          <w:color w:val="auto"/>
        </w:rPr>
        <w:t>设置隔声措施，隔声效果应满足《建筑环境通用规范》GB</w:t>
      </w:r>
      <w:r>
        <w:rPr>
          <w:color w:val="auto"/>
        </w:rPr>
        <w:t>55016的规定。</w:t>
      </w:r>
    </w:p>
    <w:p w14:paraId="5A33993C">
      <w:pPr>
        <w:rPr>
          <w:color w:val="auto"/>
        </w:rPr>
      </w:pPr>
      <w:r>
        <w:rPr>
          <w:rFonts w:hint="eastAsia"/>
          <w:b/>
          <w:color w:val="auto"/>
        </w:rPr>
        <w:t>6</w:t>
      </w:r>
      <w:r>
        <w:rPr>
          <w:b/>
          <w:color w:val="auto"/>
        </w:rPr>
        <w:t>.2.</w:t>
      </w:r>
      <w:r>
        <w:rPr>
          <w:rFonts w:hint="eastAsia"/>
          <w:b/>
          <w:color w:val="auto"/>
        </w:rPr>
        <w:t>4</w:t>
      </w:r>
      <w:r>
        <w:rPr>
          <w:color w:val="auto"/>
        </w:rPr>
        <w:t xml:space="preserve">  集成式或整体</w:t>
      </w:r>
      <w:r>
        <w:rPr>
          <w:rFonts w:hint="eastAsia"/>
          <w:color w:val="auto"/>
        </w:rPr>
        <w:t>式</w:t>
      </w:r>
      <w:r>
        <w:rPr>
          <w:color w:val="auto"/>
        </w:rPr>
        <w:t>厨房、卫浴</w:t>
      </w:r>
      <w:r>
        <w:rPr>
          <w:rFonts w:hint="eastAsia"/>
          <w:color w:val="auto"/>
        </w:rPr>
        <w:t>的</w:t>
      </w:r>
      <w:r>
        <w:rPr>
          <w:color w:val="auto"/>
        </w:rPr>
        <w:t>给水、热水、排水管道接口</w:t>
      </w:r>
      <w:r>
        <w:rPr>
          <w:rFonts w:hint="eastAsia"/>
          <w:color w:val="auto"/>
        </w:rPr>
        <w:t>应设置在</w:t>
      </w:r>
      <w:r>
        <w:rPr>
          <w:color w:val="auto"/>
        </w:rPr>
        <w:t>便于检修的位置。</w:t>
      </w:r>
    </w:p>
    <w:p w14:paraId="088A82BE">
      <w:pPr>
        <w:rPr>
          <w:color w:val="auto"/>
        </w:rPr>
      </w:pPr>
      <w:r>
        <w:rPr>
          <w:rFonts w:hint="eastAsia"/>
          <w:b/>
          <w:color w:val="auto"/>
        </w:rPr>
        <w:t>6</w:t>
      </w:r>
      <w:r>
        <w:rPr>
          <w:b/>
          <w:color w:val="auto"/>
        </w:rPr>
        <w:t>.2.</w:t>
      </w:r>
      <w:r>
        <w:rPr>
          <w:rFonts w:hint="eastAsia"/>
          <w:b/>
          <w:color w:val="auto"/>
        </w:rPr>
        <w:t>5</w:t>
      </w:r>
      <w:r>
        <w:rPr>
          <w:color w:val="auto"/>
        </w:rPr>
        <w:t xml:space="preserve">  管道</w:t>
      </w:r>
      <w:r>
        <w:rPr>
          <w:rFonts w:hint="eastAsia"/>
          <w:color w:val="auto"/>
        </w:rPr>
        <w:t>在</w:t>
      </w:r>
      <w:r>
        <w:rPr>
          <w:color w:val="auto"/>
        </w:rPr>
        <w:t>构件内</w:t>
      </w:r>
      <w:r>
        <w:rPr>
          <w:rFonts w:hint="eastAsia"/>
          <w:color w:val="auto"/>
        </w:rPr>
        <w:t>敷设</w:t>
      </w:r>
      <w:r>
        <w:rPr>
          <w:color w:val="auto"/>
        </w:rPr>
        <w:t>时应</w:t>
      </w:r>
      <w:r>
        <w:rPr>
          <w:rFonts w:hint="eastAsia"/>
          <w:color w:val="auto"/>
        </w:rPr>
        <w:t>具备</w:t>
      </w:r>
      <w:r>
        <w:rPr>
          <w:color w:val="auto"/>
        </w:rPr>
        <w:t>维护、更换</w:t>
      </w:r>
      <w:r>
        <w:rPr>
          <w:rFonts w:hint="eastAsia"/>
          <w:color w:val="auto"/>
        </w:rPr>
        <w:t>条件</w:t>
      </w:r>
      <w:r>
        <w:rPr>
          <w:color w:val="auto"/>
        </w:rPr>
        <w:t>，</w:t>
      </w:r>
      <w:r>
        <w:rPr>
          <w:rFonts w:hint="eastAsia"/>
          <w:color w:val="auto"/>
        </w:rPr>
        <w:t>且</w:t>
      </w:r>
      <w:r>
        <w:rPr>
          <w:color w:val="auto"/>
        </w:rPr>
        <w:t>应</w:t>
      </w:r>
      <w:r>
        <w:rPr>
          <w:rFonts w:hint="eastAsia"/>
          <w:color w:val="auto"/>
        </w:rPr>
        <w:t>考虑保温</w:t>
      </w:r>
      <w:r>
        <w:rPr>
          <w:color w:val="auto"/>
        </w:rPr>
        <w:t>防结露措施。</w:t>
      </w:r>
    </w:p>
    <w:p w14:paraId="20F977F5">
      <w:pPr>
        <w:pStyle w:val="7"/>
        <w:rPr>
          <w:color w:val="auto"/>
        </w:rPr>
      </w:pPr>
      <w:r>
        <w:rPr>
          <w:rFonts w:hint="eastAsia"/>
          <w:b/>
          <w:color w:val="auto"/>
        </w:rPr>
        <w:t>6</w:t>
      </w:r>
      <w:r>
        <w:rPr>
          <w:b/>
          <w:color w:val="auto"/>
        </w:rPr>
        <w:t>.2.</w:t>
      </w:r>
      <w:r>
        <w:rPr>
          <w:rFonts w:hint="eastAsia"/>
          <w:b/>
          <w:color w:val="auto"/>
        </w:rPr>
        <w:t>6</w:t>
      </w:r>
      <w:r>
        <w:rPr>
          <w:color w:val="auto"/>
        </w:rPr>
        <w:t xml:space="preserve">  应选用耐腐蚀、寿命长、降噪性能好</w:t>
      </w:r>
      <w:r>
        <w:rPr>
          <w:rFonts w:hint="eastAsia"/>
          <w:color w:val="auto"/>
        </w:rPr>
        <w:t>、便于安装、</w:t>
      </w:r>
      <w:r>
        <w:rPr>
          <w:color w:val="auto"/>
        </w:rPr>
        <w:t>连接可靠、密封性能</w:t>
      </w:r>
      <w:r>
        <w:rPr>
          <w:rFonts w:hint="eastAsia"/>
          <w:color w:val="auto"/>
        </w:rPr>
        <w:t>好的管道、管件及设备</w:t>
      </w:r>
      <w:r>
        <w:rPr>
          <w:color w:val="auto"/>
        </w:rPr>
        <w:t>。</w:t>
      </w:r>
    </w:p>
    <w:p w14:paraId="2A6F59D8">
      <w:pPr>
        <w:pStyle w:val="7"/>
        <w:rPr>
          <w:color w:val="auto"/>
        </w:rPr>
      </w:pPr>
    </w:p>
    <w:p w14:paraId="56B32AF3">
      <w:pPr>
        <w:pStyle w:val="3"/>
        <w:snapToGrid w:val="0"/>
      </w:pPr>
      <w:bookmarkStart w:id="138" w:name="_Toc18385"/>
      <w:r>
        <w:t>6.3  </w:t>
      </w:r>
      <w:r>
        <w:rPr>
          <w:rFonts w:hint="eastAsia"/>
        </w:rPr>
        <w:t>电气及智能化设计</w:t>
      </w:r>
      <w:bookmarkEnd w:id="138"/>
    </w:p>
    <w:p w14:paraId="43A2FCFD">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color w:val="auto"/>
        </w:rPr>
      </w:pPr>
      <w:r>
        <w:rPr>
          <w:rStyle w:val="22"/>
          <w:color w:val="auto"/>
        </w:rPr>
        <w:t>6.3.1</w:t>
      </w:r>
      <w:r>
        <w:rPr>
          <w:color w:val="auto"/>
        </w:rPr>
        <w:t>  </w:t>
      </w:r>
      <w:r>
        <w:rPr>
          <w:rFonts w:hint="eastAsia"/>
          <w:color w:val="auto"/>
        </w:rPr>
        <w:t>注仓式自保温装配式农房</w:t>
      </w:r>
      <w:r>
        <w:rPr>
          <w:color w:val="auto"/>
        </w:rPr>
        <w:t>应符合现行国家标准《民用建筑电气设计标准》GB 51348、《装配式住宅建筑设计标准》</w:t>
      </w:r>
      <w:r>
        <w:rPr>
          <w:rFonts w:hint="eastAsia"/>
          <w:color w:val="auto"/>
        </w:rPr>
        <w:t>J</w:t>
      </w:r>
      <w:r>
        <w:rPr>
          <w:color w:val="auto"/>
        </w:rPr>
        <w:t>GJ/T 398、《装配式混凝土建筑技术标准》GB/T 51231、《四川省住宅设计标准》DBJ51/168的</w:t>
      </w:r>
      <w:r>
        <w:rPr>
          <w:rFonts w:hint="eastAsia"/>
          <w:color w:val="auto"/>
        </w:rPr>
        <w:t>相关</w:t>
      </w:r>
      <w:r>
        <w:rPr>
          <w:color w:val="auto"/>
        </w:rPr>
        <w:t>规定。</w:t>
      </w:r>
    </w:p>
    <w:p w14:paraId="5ED0482E">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color w:val="auto"/>
        </w:rPr>
      </w:pPr>
      <w:r>
        <w:rPr>
          <w:rStyle w:val="22"/>
          <w:color w:val="auto"/>
        </w:rPr>
        <w:t>6.3.2</w:t>
      </w:r>
      <w:r>
        <w:rPr>
          <w:color w:val="auto"/>
        </w:rPr>
        <w:t>  </w:t>
      </w:r>
      <w:r>
        <w:rPr>
          <w:rFonts w:hint="eastAsia"/>
          <w:color w:val="auto"/>
        </w:rPr>
        <w:t>注仓式自保温装配式农房的电气与智能化设备及管线安装应符合下列规定：</w:t>
      </w:r>
    </w:p>
    <w:p w14:paraId="776DF77B">
      <w:pPr>
        <w:pStyle w:val="7"/>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color w:val="auto"/>
        </w:rPr>
      </w:pPr>
      <w:r>
        <w:rPr>
          <w:rFonts w:hint="eastAsia"/>
          <w:b/>
          <w:bCs/>
          <w:color w:val="auto"/>
        </w:rPr>
        <w:t>1</w:t>
      </w:r>
      <w:r>
        <w:rPr>
          <w:rFonts w:hint="eastAsia"/>
          <w:color w:val="auto"/>
        </w:rPr>
        <w:t xml:space="preserve">  电气和智能化系统水平管线宜敷设在吊顶空间、楼板架空层或隔墙空腔内，不宜穿越预制受力构件。</w:t>
      </w:r>
    </w:p>
    <w:p w14:paraId="50BC23AB">
      <w:pPr>
        <w:pStyle w:val="7"/>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color w:val="auto"/>
        </w:rPr>
      </w:pPr>
      <w:r>
        <w:rPr>
          <w:b/>
          <w:bCs/>
          <w:color w:val="auto"/>
        </w:rPr>
        <w:t>2</w:t>
      </w:r>
      <w:r>
        <w:rPr>
          <w:rFonts w:hint="eastAsia"/>
          <w:color w:val="auto"/>
        </w:rPr>
        <w:t xml:space="preserve">  配电箱、智能化配线箱不宜暗装在预制墙板内，宜设置在现浇或砌筑墙体上</w:t>
      </w:r>
      <w:r>
        <w:rPr>
          <w:rFonts w:hint="eastAsia"/>
          <w:color w:val="auto"/>
          <w:lang w:eastAsia="zh-CN"/>
        </w:rPr>
        <w:t>。</w:t>
      </w:r>
    </w:p>
    <w:p w14:paraId="5CB125DF">
      <w:pPr>
        <w:pStyle w:val="7"/>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color w:val="auto"/>
        </w:rPr>
      </w:pPr>
      <w:r>
        <w:rPr>
          <w:b/>
          <w:bCs/>
          <w:color w:val="auto"/>
        </w:rPr>
        <w:t>3</w:t>
      </w:r>
      <w:r>
        <w:rPr>
          <w:rFonts w:hint="eastAsia"/>
          <w:color w:val="auto"/>
        </w:rPr>
        <w:t xml:space="preserve">  开关、插座、接线盒等在预制墙板内暗设时，其孔洞应准确定位，并在预制墙体深化设计阶段一次预埋完成</w:t>
      </w:r>
      <w:r>
        <w:rPr>
          <w:rFonts w:hint="eastAsia"/>
          <w:color w:val="auto"/>
          <w:lang w:eastAsia="zh-CN"/>
        </w:rPr>
        <w:t>。</w:t>
      </w:r>
      <w:r>
        <w:rPr>
          <w:rFonts w:hint="eastAsia"/>
          <w:color w:val="auto"/>
        </w:rPr>
        <w:t>接线盒应可靠固定，防止浇筑移位</w:t>
      </w:r>
      <w:r>
        <w:rPr>
          <w:rFonts w:hint="eastAsia"/>
          <w:color w:val="auto"/>
          <w:lang w:eastAsia="zh-CN"/>
        </w:rPr>
        <w:t>。</w:t>
      </w:r>
      <w:r>
        <w:rPr>
          <w:rFonts w:hint="eastAsia"/>
          <w:color w:val="auto"/>
        </w:rPr>
        <w:t>隔墙两侧的电气和智能化设备不得穿透墙体直接连通。</w:t>
      </w:r>
    </w:p>
    <w:p w14:paraId="1306B22F">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color w:val="auto"/>
        </w:rPr>
      </w:pPr>
      <w:r>
        <w:rPr>
          <w:rStyle w:val="22"/>
          <w:color w:val="auto"/>
        </w:rPr>
        <w:t>6.3.3</w:t>
      </w:r>
      <w:r>
        <w:rPr>
          <w:color w:val="auto"/>
        </w:rPr>
        <w:t>  </w:t>
      </w:r>
      <w:r>
        <w:rPr>
          <w:rFonts w:hint="eastAsia"/>
          <w:color w:val="auto"/>
        </w:rPr>
        <w:t>注仓式自保温装配式农房的防雷设计应符合下列规定：</w:t>
      </w:r>
    </w:p>
    <w:p w14:paraId="02EE6435">
      <w:pPr>
        <w:pStyle w:val="7"/>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color w:val="auto"/>
        </w:rPr>
      </w:pPr>
      <w:r>
        <w:rPr>
          <w:rFonts w:hint="eastAsia"/>
          <w:b/>
          <w:bCs/>
          <w:color w:val="auto"/>
        </w:rPr>
        <w:t>1</w:t>
      </w:r>
      <w:r>
        <w:rPr>
          <w:rFonts w:hint="eastAsia"/>
          <w:color w:val="auto"/>
        </w:rPr>
        <w:t xml:space="preserve">  应充分利用装配式结构构件内的金属体作为防雷引下线，各金属部件之间均应连成电气通路。所有防雷引下线上端与接闪网、下端与接地装置之间可靠连接。</w:t>
      </w:r>
    </w:p>
    <w:p w14:paraId="0E870266">
      <w:pPr>
        <w:pStyle w:val="7"/>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color w:val="auto"/>
        </w:rPr>
      </w:pPr>
      <w:r>
        <w:rPr>
          <w:b/>
          <w:bCs/>
          <w:color w:val="auto"/>
        </w:rPr>
        <w:t>2</w:t>
      </w:r>
      <w:r>
        <w:rPr>
          <w:rFonts w:hint="eastAsia"/>
          <w:color w:val="auto"/>
        </w:rPr>
        <w:t xml:space="preserve">  外墙金属栏杆、金属窗框、预制凸窗、预制空调板等预制部品部件应通过预埋连接板、附加连接导体与主体结构内防雷装置可靠连接。</w:t>
      </w:r>
    </w:p>
    <w:p w14:paraId="6C73BEEC">
      <w:pPr>
        <w:pStyle w:val="7"/>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color w:val="auto"/>
        </w:rPr>
      </w:pPr>
      <w:r>
        <w:rPr>
          <w:b/>
          <w:bCs/>
          <w:color w:val="auto"/>
        </w:rPr>
        <w:t>3</w:t>
      </w:r>
      <w:r>
        <w:rPr>
          <w:rFonts w:hint="eastAsia"/>
          <w:color w:val="auto"/>
        </w:rPr>
        <w:t xml:space="preserve">  各电气系统应采用同一接地装置，接地装置的接地电阻值应满足各种接地的最小电阻值的要求。</w:t>
      </w:r>
    </w:p>
    <w:p w14:paraId="2F70599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rStyle w:val="22"/>
          <w:color w:val="auto"/>
        </w:rPr>
        <w:t>6.3.4</w:t>
      </w:r>
      <w:r>
        <w:rPr>
          <w:color w:val="auto"/>
        </w:rPr>
        <w:t>  </w:t>
      </w:r>
      <w:r>
        <w:rPr>
          <w:rFonts w:hint="eastAsia"/>
          <w:color w:val="auto"/>
        </w:rPr>
        <w:t>注仓式自保温装配式农房光伏发电系统设计应符合下列规定：</w:t>
      </w:r>
    </w:p>
    <w:p w14:paraId="042A11C9">
      <w:pPr>
        <w:pStyle w:val="7"/>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color w:val="auto"/>
        </w:rPr>
      </w:pPr>
      <w:r>
        <w:rPr>
          <w:rFonts w:hint="eastAsia"/>
          <w:b/>
          <w:bCs/>
          <w:color w:val="auto"/>
        </w:rPr>
        <w:t>1</w:t>
      </w:r>
      <w:r>
        <w:rPr>
          <w:rFonts w:hint="eastAsia"/>
          <w:color w:val="auto"/>
        </w:rPr>
        <w:t xml:space="preserve">  光伏发电系统的设置应结合当地气候条件、能源结构及经济发展水平，因地制宜地利用太阳能资源。</w:t>
      </w:r>
    </w:p>
    <w:p w14:paraId="5CF8FF45">
      <w:pPr>
        <w:pStyle w:val="7"/>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color w:val="auto"/>
        </w:rPr>
      </w:pPr>
      <w:r>
        <w:rPr>
          <w:b/>
          <w:bCs/>
          <w:color w:val="auto"/>
        </w:rPr>
        <w:t>2</w:t>
      </w:r>
      <w:r>
        <w:rPr>
          <w:rFonts w:hint="eastAsia"/>
          <w:color w:val="auto"/>
        </w:rPr>
        <w:t xml:space="preserve">  与公共电网连接的光伏发电系统，应在并网点设置具有明显断开点的隔离装置，并装设过压、欠压、过频、欠频及防孤岛保护等安全保护装置。</w:t>
      </w:r>
    </w:p>
    <w:p w14:paraId="7814F205">
      <w:pPr>
        <w:pStyle w:val="7"/>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color w:val="auto"/>
        </w:rPr>
      </w:pPr>
      <w:r>
        <w:rPr>
          <w:b/>
          <w:bCs/>
          <w:color w:val="auto"/>
        </w:rPr>
        <w:t>3</w:t>
      </w:r>
      <w:r>
        <w:rPr>
          <w:rFonts w:hint="eastAsia"/>
          <w:color w:val="auto"/>
        </w:rPr>
        <w:t xml:space="preserve">  光伏组件的金属外框应可靠接地。</w:t>
      </w:r>
    </w:p>
    <w:p w14:paraId="616E6027">
      <w:pPr>
        <w:pStyle w:val="7"/>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color w:val="auto"/>
        </w:rPr>
      </w:pPr>
    </w:p>
    <w:p w14:paraId="52DA7A06">
      <w:pPr>
        <w:pStyle w:val="3"/>
        <w:snapToGrid w:val="0"/>
      </w:pPr>
      <w:bookmarkStart w:id="139" w:name="_Toc8788"/>
      <w:r>
        <w:t>6.4  </w:t>
      </w:r>
      <w:r>
        <w:rPr>
          <w:rFonts w:hint="eastAsia"/>
        </w:rPr>
        <w:t>暖通</w:t>
      </w:r>
      <w:r>
        <w:t>设计</w:t>
      </w:r>
      <w:bookmarkEnd w:id="139"/>
    </w:p>
    <w:p w14:paraId="4F021D10">
      <w:pPr>
        <w:pStyle w:val="7"/>
      </w:pPr>
      <w:r>
        <w:rPr>
          <w:rStyle w:val="22"/>
        </w:rPr>
        <w:t>6.4.</w:t>
      </w:r>
      <w:r>
        <w:rPr>
          <w:rStyle w:val="22"/>
          <w:rFonts w:hint="eastAsia"/>
        </w:rPr>
        <w:t>1</w:t>
      </w:r>
      <w:r>
        <w:t>  </w:t>
      </w:r>
      <w:r>
        <w:rPr>
          <w:rFonts w:hint="eastAsia"/>
          <w:lang w:eastAsia="zh-CN"/>
        </w:rPr>
        <w:t>注仓式自保温装配式农房</w:t>
      </w:r>
      <w:r>
        <w:rPr>
          <w:rFonts w:hint="eastAsia"/>
        </w:rPr>
        <w:t>的暖通空调设计应与建筑设计同步，应结合建筑平面和结构设计，对灶、烟道、烟囱、暖通空调设施等进行布置（或预留条件）。</w:t>
      </w:r>
    </w:p>
    <w:p w14:paraId="20F2FAF4">
      <w:pPr>
        <w:pStyle w:val="7"/>
      </w:pPr>
      <w:r>
        <w:rPr>
          <w:rStyle w:val="22"/>
          <w:rFonts w:hint="eastAsia"/>
        </w:rPr>
        <w:t>6.4.2</w:t>
      </w:r>
      <w:r>
        <w:rPr>
          <w:rFonts w:hint="eastAsia" w:ascii="华文仿宋" w:hAnsi="华文仿宋" w:eastAsia="华文仿宋"/>
        </w:rPr>
        <w:t xml:space="preserve">  </w:t>
      </w:r>
      <w:r>
        <w:rPr>
          <w:rFonts w:hint="eastAsia"/>
          <w:lang w:eastAsia="zh-CN"/>
        </w:rPr>
        <w:t>注仓式自保温装配式农房宜采用自然通风方式改善室内环境</w:t>
      </w:r>
      <w:r>
        <w:rPr>
          <w:rFonts w:hint="eastAsia"/>
        </w:rPr>
        <w:t>。</w:t>
      </w:r>
    </w:p>
    <w:p w14:paraId="727810B2">
      <w:pPr>
        <w:pStyle w:val="7"/>
        <w:rPr>
          <w:rFonts w:hint="eastAsia" w:ascii="华文仿宋" w:hAnsi="华文仿宋" w:eastAsia="华文仿宋"/>
        </w:rPr>
      </w:pPr>
      <w:r>
        <w:rPr>
          <w:rStyle w:val="22"/>
          <w:rFonts w:hint="eastAsia"/>
        </w:rPr>
        <w:t>6.4.3</w:t>
      </w:r>
      <w:r>
        <w:rPr>
          <w:rFonts w:hint="eastAsia" w:ascii="华文仿宋" w:hAnsi="华文仿宋" w:eastAsia="华文仿宋"/>
        </w:rPr>
        <w:t xml:space="preserve">  </w:t>
      </w:r>
      <w:r>
        <w:rPr>
          <w:rFonts w:hint="eastAsia"/>
        </w:rPr>
        <w:t>当被动方式不能满足室内环境控制需求时，建筑应采用适宜的暖通空调技术，选用低噪声、高能效的节能型设备，维持良好的热舒适性，降低建筑能耗。</w:t>
      </w:r>
    </w:p>
    <w:p w14:paraId="75BF720D">
      <w:pPr>
        <w:pStyle w:val="7"/>
        <w:rPr>
          <w:rFonts w:hint="eastAsia"/>
        </w:rPr>
      </w:pPr>
      <w:r>
        <w:rPr>
          <w:rStyle w:val="22"/>
          <w:rFonts w:hint="eastAsia"/>
        </w:rPr>
        <w:t xml:space="preserve">6.4.4  </w:t>
      </w:r>
      <w:r>
        <w:rPr>
          <w:rFonts w:hint="eastAsia"/>
        </w:rPr>
        <w:t>暖通设备宜采用通用规格部品，风管、水管、风口、管件、预埋套管、预留洞口等宜按照国家规范要求的标准模数设计。</w:t>
      </w:r>
    </w:p>
    <w:p w14:paraId="4D6F12DF">
      <w:pPr>
        <w:pStyle w:val="7"/>
        <w:rPr>
          <w:rFonts w:hint="eastAsia"/>
        </w:rPr>
      </w:pPr>
      <w:r>
        <w:rPr>
          <w:rStyle w:val="22"/>
          <w:rFonts w:hint="eastAsia"/>
        </w:rPr>
        <w:t>6.4.</w:t>
      </w:r>
      <w:r>
        <w:rPr>
          <w:rStyle w:val="22"/>
          <w:rFonts w:hint="eastAsia"/>
          <w:lang w:val="en-US" w:eastAsia="zh-CN"/>
        </w:rPr>
        <w:t>5</w:t>
      </w:r>
      <w:r>
        <w:rPr>
          <w:rFonts w:hint="eastAsia"/>
        </w:rPr>
        <w:t xml:space="preserve">  暖通空调管线穿越注仓式自保温墙体须设置专用保温套管，穿仓孔洞应密封处理。</w:t>
      </w:r>
    </w:p>
    <w:p w14:paraId="7D8CCFE2">
      <w:pPr>
        <w:pStyle w:val="7"/>
        <w:rPr>
          <w:rStyle w:val="22"/>
          <w:rFonts w:hint="eastAsia"/>
          <w:b w:val="0"/>
          <w:bCs/>
        </w:rPr>
      </w:pPr>
      <w:r>
        <w:rPr>
          <w:rFonts w:hint="eastAsia"/>
          <w:b/>
          <w:bCs/>
        </w:rPr>
        <w:t>6.4.</w:t>
      </w:r>
      <w:r>
        <w:rPr>
          <w:rFonts w:hint="eastAsia"/>
          <w:b/>
          <w:bCs/>
          <w:lang w:val="en-US" w:eastAsia="zh-CN"/>
        </w:rPr>
        <w:t>6</w:t>
      </w:r>
      <w:r>
        <w:rPr>
          <w:rFonts w:hint="eastAsia"/>
          <w:b/>
          <w:bCs/>
        </w:rPr>
        <w:t xml:space="preserve">  </w:t>
      </w:r>
      <w:r>
        <w:rPr>
          <w:rFonts w:hint="eastAsia"/>
        </w:rPr>
        <w:t>厨房应设置外窗，宜设置机械排风装置。无可开启外窗的卫生间应设防止回流的机械通风设施。厨房和卫生间的机械通风设施的排风管道应排至室外。</w:t>
      </w:r>
    </w:p>
    <w:p w14:paraId="1DDF38C6">
      <w:pPr>
        <w:pStyle w:val="7"/>
      </w:pPr>
    </w:p>
    <w:p w14:paraId="33E6A29B">
      <w:pPr>
        <w:widowControl/>
        <w:spacing w:line="240" w:lineRule="auto"/>
      </w:pPr>
      <w:r>
        <w:br w:type="page"/>
      </w:r>
    </w:p>
    <w:p w14:paraId="45317779">
      <w:pPr>
        <w:pStyle w:val="7"/>
      </w:pPr>
    </w:p>
    <w:p w14:paraId="05B5FD29">
      <w:pPr>
        <w:pStyle w:val="2"/>
      </w:pPr>
      <w:bookmarkStart w:id="140" w:name="_Toc29893"/>
      <w:r>
        <w:rPr>
          <w:rFonts w:hint="eastAsia"/>
          <w:lang w:val="en-US" w:eastAsia="zh-CN"/>
        </w:rPr>
        <w:t>7</w:t>
      </w:r>
      <w:r>
        <w:t xml:space="preserve">  </w:t>
      </w:r>
      <w:r>
        <w:rPr>
          <w:rFonts w:hint="eastAsia"/>
        </w:rPr>
        <w:t>施  工</w:t>
      </w:r>
      <w:bookmarkEnd w:id="132"/>
      <w:bookmarkEnd w:id="140"/>
    </w:p>
    <w:p w14:paraId="6FEDD101">
      <w:pPr>
        <w:pStyle w:val="3"/>
        <w:snapToGrid w:val="0"/>
      </w:pPr>
      <w:bookmarkStart w:id="141" w:name="_Toc24285"/>
      <w:bookmarkStart w:id="142" w:name="_Toc22907"/>
      <w:r>
        <w:rPr>
          <w:rFonts w:hint="eastAsia"/>
          <w:lang w:val="en-US" w:eastAsia="zh-CN"/>
        </w:rPr>
        <w:t>7</w:t>
      </w:r>
      <w:r>
        <w:t>.1  一般规定</w:t>
      </w:r>
      <w:bookmarkEnd w:id="141"/>
      <w:bookmarkEnd w:id="142"/>
    </w:p>
    <w:p w14:paraId="24A316C1">
      <w:r>
        <w:rPr>
          <w:rStyle w:val="22"/>
          <w:rFonts w:hint="eastAsia"/>
          <w:lang w:val="en-US" w:eastAsia="zh-CN"/>
        </w:rPr>
        <w:t>7</w:t>
      </w:r>
      <w:r>
        <w:rPr>
          <w:rStyle w:val="22"/>
        </w:rPr>
        <w:t>.1.1</w:t>
      </w:r>
      <w:r>
        <w:t>  </w:t>
      </w:r>
      <w:r>
        <w:rPr>
          <w:rFonts w:hint="eastAsia"/>
        </w:rPr>
        <w:t>注仓式自保温装配式农房</w:t>
      </w:r>
      <w:r>
        <w:rPr>
          <w:rFonts w:hint="eastAsia"/>
          <w:lang w:eastAsia="zh-CN"/>
        </w:rPr>
        <w:t>的施工单位</w:t>
      </w:r>
      <w:r>
        <w:rPr>
          <w:rFonts w:hint="eastAsia"/>
        </w:rPr>
        <w:t>应建立完善的安全、质量、环境和职业健康管理体系。</w:t>
      </w:r>
    </w:p>
    <w:p w14:paraId="1B5BDD80">
      <w:r>
        <w:rPr>
          <w:rStyle w:val="22"/>
          <w:rFonts w:hint="eastAsia"/>
          <w:lang w:val="en-US" w:eastAsia="zh-CN"/>
        </w:rPr>
        <w:t>7</w:t>
      </w:r>
      <w:r>
        <w:rPr>
          <w:rStyle w:val="22"/>
        </w:rPr>
        <w:t>.1.</w:t>
      </w:r>
      <w:r>
        <w:rPr>
          <w:rStyle w:val="22"/>
          <w:rFonts w:hint="eastAsia"/>
        </w:rPr>
        <w:t>2</w:t>
      </w:r>
      <w:r>
        <w:t>  </w:t>
      </w:r>
      <w:r>
        <w:rPr>
          <w:rFonts w:hint="eastAsia"/>
        </w:rPr>
        <w:t>注仓式自保温装配式农房的施工，应由具备相应安装资质的单位进行</w:t>
      </w:r>
      <w:r>
        <w:rPr>
          <w:rFonts w:hint="eastAsia"/>
          <w:lang w:eastAsia="zh-CN"/>
        </w:rPr>
        <w:t>。</w:t>
      </w:r>
      <w:r>
        <w:rPr>
          <w:rFonts w:hint="eastAsia"/>
        </w:rPr>
        <w:t>安装应符合施工图设计及安装规范的要求。施工前，施工单位应编制下列技术文件，并按规定进行审批和论证：</w:t>
      </w:r>
    </w:p>
    <w:p w14:paraId="0009AA03">
      <w:pPr>
        <w:ind w:firstLine="482" w:firstLineChars="200"/>
      </w:pPr>
      <w:r>
        <w:rPr>
          <w:rFonts w:hint="eastAsia"/>
          <w:b/>
          <w:bCs/>
        </w:rPr>
        <w:t>1</w:t>
      </w:r>
      <w:r>
        <w:rPr>
          <w:rFonts w:hint="eastAsia"/>
        </w:rPr>
        <w:t xml:space="preserve">  施工组织设计及配套的专项施工方案；</w:t>
      </w:r>
    </w:p>
    <w:p w14:paraId="795556B4">
      <w:pPr>
        <w:ind w:firstLine="482" w:firstLineChars="200"/>
      </w:pPr>
      <w:r>
        <w:rPr>
          <w:rFonts w:hint="eastAsia"/>
          <w:b/>
          <w:bCs/>
        </w:rPr>
        <w:t>2</w:t>
      </w:r>
      <w:r>
        <w:rPr>
          <w:rFonts w:hint="eastAsia"/>
        </w:rPr>
        <w:t xml:space="preserve">  安全专项方案；</w:t>
      </w:r>
    </w:p>
    <w:p w14:paraId="63D4B2B6">
      <w:pPr>
        <w:ind w:firstLine="482" w:firstLineChars="200"/>
      </w:pPr>
      <w:r>
        <w:rPr>
          <w:rFonts w:hint="eastAsia"/>
          <w:b/>
          <w:bCs/>
        </w:rPr>
        <w:t>3</w:t>
      </w:r>
      <w:r>
        <w:rPr>
          <w:rFonts w:hint="eastAsia"/>
        </w:rPr>
        <w:t xml:space="preserve">  环境保护专项方案。</w:t>
      </w:r>
    </w:p>
    <w:p w14:paraId="341590D5">
      <w:r>
        <w:rPr>
          <w:rStyle w:val="22"/>
          <w:rFonts w:hint="eastAsia"/>
          <w:lang w:val="en-US" w:eastAsia="zh-CN"/>
        </w:rPr>
        <w:t>7</w:t>
      </w:r>
      <w:r>
        <w:rPr>
          <w:rStyle w:val="22"/>
        </w:rPr>
        <w:t>.1.</w:t>
      </w:r>
      <w:r>
        <w:rPr>
          <w:rStyle w:val="22"/>
          <w:rFonts w:hint="eastAsia"/>
        </w:rPr>
        <w:t>3</w:t>
      </w:r>
      <w:r>
        <w:t>  </w:t>
      </w:r>
      <w:r>
        <w:rPr>
          <w:rFonts w:hint="eastAsia"/>
        </w:rPr>
        <w:t>施工单位应根据注仓式自保温装配式农房的特点，选择合适的施工方法，制定合理的施工顺序，</w:t>
      </w:r>
      <w:r>
        <w:rPr>
          <w:rFonts w:hint="eastAsia"/>
          <w:lang w:eastAsia="zh-CN"/>
        </w:rPr>
        <w:t>并</w:t>
      </w:r>
      <w:r>
        <w:rPr>
          <w:rFonts w:hint="eastAsia"/>
        </w:rPr>
        <w:t>尽量减少现场支模和脚手架用量，提高施工效率。</w:t>
      </w:r>
    </w:p>
    <w:p w14:paraId="0E179FD5">
      <w:r>
        <w:rPr>
          <w:rStyle w:val="22"/>
          <w:rFonts w:hint="eastAsia"/>
          <w:lang w:val="en-US" w:eastAsia="zh-CN"/>
        </w:rPr>
        <w:t>7</w:t>
      </w:r>
      <w:r>
        <w:rPr>
          <w:rStyle w:val="22"/>
        </w:rPr>
        <w:t>.1.</w:t>
      </w:r>
      <w:r>
        <w:rPr>
          <w:rStyle w:val="22"/>
          <w:rFonts w:hint="eastAsia"/>
        </w:rPr>
        <w:t>4</w:t>
      </w:r>
      <w:r>
        <w:t>  </w:t>
      </w:r>
      <w:r>
        <w:rPr>
          <w:rFonts w:hint="eastAsia"/>
        </w:rPr>
        <w:t>施工所用的设备、机具、工具和计量器具，应满足施工要求，并应在合格检定有效期内。</w:t>
      </w:r>
    </w:p>
    <w:p w14:paraId="52A370F1">
      <w:r>
        <w:rPr>
          <w:rStyle w:val="22"/>
          <w:rFonts w:hint="eastAsia"/>
          <w:lang w:val="en-US" w:eastAsia="zh-CN"/>
        </w:rPr>
        <w:t>7</w:t>
      </w:r>
      <w:r>
        <w:rPr>
          <w:rStyle w:val="22"/>
        </w:rPr>
        <w:t>.1.</w:t>
      </w:r>
      <w:r>
        <w:rPr>
          <w:rStyle w:val="22"/>
          <w:rFonts w:hint="eastAsia"/>
        </w:rPr>
        <w:t>5</w:t>
      </w:r>
      <w:r>
        <w:t>  </w:t>
      </w:r>
      <w:r>
        <w:rPr>
          <w:rFonts w:hint="eastAsia"/>
        </w:rPr>
        <w:t>注仓式自保温装配式农房应遵守国家环境保护的法规和标准，采取有效措施减少各种粉尘、废弃物、噪声等对周围环境造成的污染和危害，并应采取可靠有效的防火等安全措施。</w:t>
      </w:r>
    </w:p>
    <w:p w14:paraId="210046A2">
      <w:r>
        <w:rPr>
          <w:rStyle w:val="22"/>
          <w:rFonts w:hint="eastAsia"/>
          <w:lang w:val="en-US" w:eastAsia="zh-CN"/>
        </w:rPr>
        <w:t>7</w:t>
      </w:r>
      <w:r>
        <w:rPr>
          <w:rStyle w:val="22"/>
        </w:rPr>
        <w:t>.1.</w:t>
      </w:r>
      <w:r>
        <w:rPr>
          <w:rStyle w:val="22"/>
          <w:rFonts w:hint="eastAsia"/>
        </w:rPr>
        <w:t>6</w:t>
      </w:r>
      <w:r>
        <w:t>  </w:t>
      </w:r>
      <w:r>
        <w:rPr>
          <w:rFonts w:hint="eastAsia"/>
        </w:rPr>
        <w:t>施工前，施工单位应对装配式钢结构建筑的现场施工人员进行相应专业技</w:t>
      </w:r>
    </w:p>
    <w:p w14:paraId="3802FA0C">
      <w:r>
        <w:rPr>
          <w:rFonts w:hint="eastAsia"/>
        </w:rPr>
        <w:t>术培训和安全交底，起重指挥、起重工、电工、电焊工等特种作业人员，必须经</w:t>
      </w:r>
    </w:p>
    <w:p w14:paraId="5A6E0FBF">
      <w:r>
        <w:rPr>
          <w:rFonts w:hint="eastAsia"/>
        </w:rPr>
        <w:t>过专业技能培训且专业考试合格，持特种作业资格证书上岗。</w:t>
      </w:r>
    </w:p>
    <w:p w14:paraId="0A5A7C69">
      <w:r>
        <w:rPr>
          <w:rStyle w:val="22"/>
          <w:rFonts w:hint="eastAsia"/>
          <w:lang w:val="en-US" w:eastAsia="zh-CN"/>
        </w:rPr>
        <w:t>7</w:t>
      </w:r>
      <w:r>
        <w:rPr>
          <w:rStyle w:val="22"/>
        </w:rPr>
        <w:t>.1.</w:t>
      </w:r>
      <w:r>
        <w:rPr>
          <w:rStyle w:val="22"/>
          <w:rFonts w:hint="eastAsia"/>
        </w:rPr>
        <w:t>7</w:t>
      </w:r>
      <w:r>
        <w:t>  </w:t>
      </w:r>
      <w:r>
        <w:rPr>
          <w:rFonts w:hint="eastAsia"/>
        </w:rPr>
        <w:t>施工单位应对进场的部品部件进行检查，合格后方可使用。</w:t>
      </w:r>
    </w:p>
    <w:p w14:paraId="32C16B7A">
      <w:r>
        <w:rPr>
          <w:rStyle w:val="22"/>
          <w:rFonts w:hint="eastAsia"/>
          <w:lang w:val="en-US" w:eastAsia="zh-CN"/>
        </w:rPr>
        <w:t>7</w:t>
      </w:r>
      <w:r>
        <w:rPr>
          <w:rStyle w:val="22"/>
        </w:rPr>
        <w:t>.1.</w:t>
      </w:r>
      <w:r>
        <w:rPr>
          <w:rStyle w:val="22"/>
          <w:rFonts w:hint="eastAsia"/>
        </w:rPr>
        <w:t>8</w:t>
      </w:r>
      <w:r>
        <w:t>  </w:t>
      </w:r>
      <w:r>
        <w:rPr>
          <w:rFonts w:hint="eastAsia"/>
        </w:rPr>
        <w:t>为防止预制构件在安装过程中因不合理受力造成损伤、破坏或高空滑落，</w:t>
      </w:r>
    </w:p>
    <w:p w14:paraId="7A297E27">
      <w:r>
        <w:rPr>
          <w:rFonts w:hint="eastAsia"/>
        </w:rPr>
        <w:t>应严格执行施工方案。</w:t>
      </w:r>
    </w:p>
    <w:p w14:paraId="37B15897">
      <w:r>
        <w:rPr>
          <w:rStyle w:val="22"/>
          <w:rFonts w:hint="eastAsia"/>
          <w:lang w:val="en-US" w:eastAsia="zh-CN"/>
        </w:rPr>
        <w:t>7</w:t>
      </w:r>
      <w:r>
        <w:rPr>
          <w:rStyle w:val="22"/>
        </w:rPr>
        <w:t>.1.</w:t>
      </w:r>
      <w:r>
        <w:rPr>
          <w:rStyle w:val="22"/>
          <w:rFonts w:hint="eastAsia"/>
        </w:rPr>
        <w:t>9</w:t>
      </w:r>
      <w:r>
        <w:t>  </w:t>
      </w:r>
      <w:r>
        <w:rPr>
          <w:rFonts w:hint="eastAsia"/>
        </w:rPr>
        <w:t>注仓式自保温装配式农房的建筑设备安装施工除应符合本标准外，尚应符合现行国家和四川省有关标准的规定。</w:t>
      </w:r>
    </w:p>
    <w:p w14:paraId="1A06E796">
      <w:pPr>
        <w:pStyle w:val="7"/>
      </w:pPr>
    </w:p>
    <w:p w14:paraId="0538B9BA">
      <w:pPr>
        <w:pStyle w:val="3"/>
        <w:snapToGrid w:val="0"/>
      </w:pPr>
      <w:bookmarkStart w:id="143" w:name="_Toc1593"/>
      <w:bookmarkStart w:id="144" w:name="_Toc20846"/>
      <w:r>
        <w:rPr>
          <w:rFonts w:hint="eastAsia"/>
          <w:lang w:val="en-US" w:eastAsia="zh-CN"/>
        </w:rPr>
        <w:t>7</w:t>
      </w:r>
      <w:r>
        <w:t>.</w:t>
      </w:r>
      <w:r>
        <w:rPr>
          <w:rFonts w:hint="eastAsia"/>
        </w:rPr>
        <w:t>2</w:t>
      </w:r>
      <w:r>
        <w:t>  </w:t>
      </w:r>
      <w:r>
        <w:rPr>
          <w:rFonts w:hint="eastAsia"/>
        </w:rPr>
        <w:t>主体结构施工</w:t>
      </w:r>
      <w:bookmarkEnd w:id="143"/>
      <w:bookmarkEnd w:id="144"/>
    </w:p>
    <w:p w14:paraId="1CAD8F27">
      <w:r>
        <w:rPr>
          <w:rStyle w:val="22"/>
          <w:rFonts w:hint="eastAsia"/>
          <w:lang w:val="en-US" w:eastAsia="zh-CN"/>
        </w:rPr>
        <w:t>7</w:t>
      </w:r>
      <w:r>
        <w:rPr>
          <w:rStyle w:val="22"/>
        </w:rPr>
        <w:t>.</w:t>
      </w:r>
      <w:r>
        <w:rPr>
          <w:rStyle w:val="22"/>
          <w:rFonts w:hint="eastAsia"/>
        </w:rPr>
        <w:t>2</w:t>
      </w:r>
      <w:r>
        <w:rPr>
          <w:rStyle w:val="22"/>
        </w:rPr>
        <w:t>.</w:t>
      </w:r>
      <w:r>
        <w:rPr>
          <w:rStyle w:val="22"/>
          <w:rFonts w:hint="eastAsia"/>
        </w:rPr>
        <w:t>1</w:t>
      </w:r>
      <w:r>
        <w:t>  </w:t>
      </w:r>
      <w:r>
        <w:rPr>
          <w:rFonts w:hint="eastAsia"/>
        </w:rPr>
        <w:t>注仓式自保温装配式农房应根据工程特点进行施工阶段设计，进行施工阶段设计时，选用的设计指标应符合设计文件、现行国家标准《混凝土结构设计标准》GB/T 50010和《钢结构设计标准》GB 50017</w:t>
      </w:r>
      <w:r>
        <w:rPr>
          <w:rFonts w:hint="eastAsia"/>
          <w:lang w:eastAsia="zh-CN"/>
        </w:rPr>
        <w:t>等有关规定</w:t>
      </w:r>
      <w:r>
        <w:rPr>
          <w:rFonts w:hint="eastAsia"/>
        </w:rPr>
        <w:t>。施工阶段结构分析的荷载效应组合和荷载分项系数取值，应符合现行国家标准《建筑结构荷载规范》GB 50009</w:t>
      </w:r>
      <w:r>
        <w:rPr>
          <w:rFonts w:hint="eastAsia"/>
          <w:lang w:eastAsia="zh-CN"/>
        </w:rPr>
        <w:t>等有关规定</w:t>
      </w:r>
      <w:r>
        <w:rPr>
          <w:rFonts w:hint="eastAsia"/>
        </w:rPr>
        <w:t>。</w:t>
      </w:r>
    </w:p>
    <w:p w14:paraId="7A6CA0C0">
      <w:r>
        <w:rPr>
          <w:rStyle w:val="22"/>
          <w:rFonts w:hint="eastAsia"/>
          <w:lang w:val="en-US" w:eastAsia="zh-CN"/>
        </w:rPr>
        <w:t>7</w:t>
      </w:r>
      <w:r>
        <w:rPr>
          <w:rStyle w:val="22"/>
        </w:rPr>
        <w:t>.</w:t>
      </w:r>
      <w:r>
        <w:rPr>
          <w:rStyle w:val="22"/>
          <w:rFonts w:hint="eastAsia"/>
        </w:rPr>
        <w:t>2</w:t>
      </w:r>
      <w:r>
        <w:rPr>
          <w:rStyle w:val="22"/>
        </w:rPr>
        <w:t>.</w:t>
      </w:r>
      <w:r>
        <w:rPr>
          <w:rStyle w:val="22"/>
          <w:rFonts w:hint="eastAsia"/>
        </w:rPr>
        <w:t>2</w:t>
      </w:r>
      <w:r>
        <w:t>  </w:t>
      </w:r>
      <w:r>
        <w:rPr>
          <w:rFonts w:hint="eastAsia"/>
        </w:rPr>
        <w:t>注仓式自保温装配式农房的主体结构施工应符合现行国家标准《</w:t>
      </w:r>
      <w:r>
        <w:fldChar w:fldCharType="begin"/>
      </w:r>
      <w:r>
        <w:instrText xml:space="preserve"> HYPERLINK "http://www.jianbiaoku.com/webarbs/book/10316.shtml" \t "http://www.jianbiaoku.com/webarbs/book/10316/_self" </w:instrText>
      </w:r>
      <w:r>
        <w:fldChar w:fldCharType="separate"/>
      </w:r>
      <w:r>
        <w:rPr>
          <w:rFonts w:hint="eastAsia"/>
        </w:rPr>
        <w:t>混凝土结构工程施工规范</w:t>
      </w:r>
      <w:r>
        <w:rPr>
          <w:rFonts w:hint="eastAsia"/>
        </w:rPr>
        <w:fldChar w:fldCharType="end"/>
      </w:r>
      <w:r>
        <w:rPr>
          <w:rFonts w:hint="eastAsia"/>
        </w:rPr>
        <w:t>》GB 50666和《</w:t>
      </w:r>
      <w:r>
        <w:fldChar w:fldCharType="begin"/>
      </w:r>
      <w:r>
        <w:instrText xml:space="preserve"> HYPERLINK "http://www.jianbiaoku.com/webarbs/book/10318.shtml" \t "http://www.jianbiaoku.com/webarbs/book/10318/_self" </w:instrText>
      </w:r>
      <w:r>
        <w:fldChar w:fldCharType="separate"/>
      </w:r>
      <w:r>
        <w:rPr>
          <w:rFonts w:hint="eastAsia"/>
        </w:rPr>
        <w:t>钢结构工程施工规范</w:t>
      </w:r>
      <w:r>
        <w:rPr>
          <w:rFonts w:hint="eastAsia"/>
        </w:rPr>
        <w:fldChar w:fldCharType="end"/>
      </w:r>
      <w:r>
        <w:rPr>
          <w:rFonts w:hint="eastAsia"/>
        </w:rPr>
        <w:t>》GB 50755的规定。</w:t>
      </w:r>
    </w:p>
    <w:bookmarkEnd w:id="133"/>
    <w:bookmarkEnd w:id="134"/>
    <w:p w14:paraId="2720A2FD">
      <w:bookmarkStart w:id="145" w:name="_Toc23300"/>
      <w:bookmarkStart w:id="146" w:name="_Toc3486"/>
      <w:bookmarkStart w:id="147" w:name="_Toc174732754"/>
      <w:bookmarkStart w:id="148" w:name="_Toc30476"/>
    </w:p>
    <w:p w14:paraId="6D9B5943">
      <w:pPr>
        <w:pStyle w:val="3"/>
        <w:snapToGrid w:val="0"/>
        <w:rPr>
          <w:rStyle w:val="22"/>
          <w:b/>
        </w:rPr>
      </w:pPr>
      <w:bookmarkStart w:id="149" w:name="_Toc2242"/>
      <w:bookmarkStart w:id="150" w:name="_Toc30829"/>
      <w:r>
        <w:rPr>
          <w:rFonts w:hint="eastAsia"/>
          <w:lang w:val="en-US" w:eastAsia="zh-CN"/>
        </w:rPr>
        <w:t>7</w:t>
      </w:r>
      <w:r>
        <w:t>.</w:t>
      </w:r>
      <w:r>
        <w:rPr>
          <w:rFonts w:hint="eastAsia"/>
        </w:rPr>
        <w:t>3</w:t>
      </w:r>
      <w:r>
        <w:t>  </w:t>
      </w:r>
      <w:r>
        <w:rPr>
          <w:rFonts w:hint="eastAsia"/>
        </w:rPr>
        <w:t>地基和基础施工</w:t>
      </w:r>
      <w:bookmarkEnd w:id="149"/>
      <w:bookmarkEnd w:id="150"/>
    </w:p>
    <w:p w14:paraId="63CC287A">
      <w:pPr>
        <w:rPr>
          <w:rStyle w:val="22"/>
        </w:rPr>
      </w:pPr>
      <w:r>
        <w:rPr>
          <w:rStyle w:val="22"/>
          <w:rFonts w:hint="eastAsia"/>
          <w:lang w:val="en-US" w:eastAsia="zh-CN"/>
        </w:rPr>
        <w:t>7</w:t>
      </w:r>
      <w:r>
        <w:rPr>
          <w:rStyle w:val="22"/>
        </w:rPr>
        <w:t>.</w:t>
      </w:r>
      <w:r>
        <w:rPr>
          <w:rStyle w:val="22"/>
          <w:rFonts w:hint="eastAsia"/>
        </w:rPr>
        <w:t>3</w:t>
      </w:r>
      <w:r>
        <w:rPr>
          <w:rStyle w:val="22"/>
        </w:rPr>
        <w:t>.</w:t>
      </w:r>
      <w:r>
        <w:rPr>
          <w:rStyle w:val="22"/>
          <w:rFonts w:hint="eastAsia"/>
          <w:lang w:val="en-US" w:eastAsia="zh-CN"/>
        </w:rPr>
        <w:t>1</w:t>
      </w:r>
      <w:r>
        <w:t>  </w:t>
      </w:r>
      <w:r>
        <w:rPr>
          <w:rFonts w:hint="eastAsia"/>
        </w:rPr>
        <w:t>地基和基础施工应符合现行国家标准《</w:t>
      </w:r>
      <w:r>
        <w:fldChar w:fldCharType="begin"/>
      </w:r>
      <w:r>
        <w:instrText xml:space="preserve"> HYPERLINK "http://www.jianbiaoku.com/webarbs/book/75486.shtml" \t "http://www.jianbiaoku.com/webarbs/book/75486/_self" </w:instrText>
      </w:r>
      <w:r>
        <w:fldChar w:fldCharType="separate"/>
      </w:r>
      <w:r>
        <w:rPr>
          <w:rFonts w:hint="eastAsia"/>
        </w:rPr>
        <w:t>建筑地基基础工程施工规范</w:t>
      </w:r>
      <w:r>
        <w:rPr>
          <w:rFonts w:hint="eastAsia"/>
        </w:rPr>
        <w:fldChar w:fldCharType="end"/>
      </w:r>
      <w:r>
        <w:rPr>
          <w:rFonts w:hint="eastAsia"/>
        </w:rPr>
        <w:t>》GB 51004的有关规定。</w:t>
      </w:r>
    </w:p>
    <w:p w14:paraId="34F4C47E">
      <w:r>
        <w:rPr>
          <w:rStyle w:val="22"/>
          <w:rFonts w:hint="eastAsia"/>
          <w:lang w:val="en-US" w:eastAsia="zh-CN"/>
        </w:rPr>
        <w:t>7</w:t>
      </w:r>
      <w:r>
        <w:rPr>
          <w:rStyle w:val="22"/>
        </w:rPr>
        <w:t>.</w:t>
      </w:r>
      <w:r>
        <w:rPr>
          <w:rStyle w:val="22"/>
          <w:rFonts w:hint="eastAsia"/>
        </w:rPr>
        <w:t>3</w:t>
      </w:r>
      <w:r>
        <w:rPr>
          <w:rStyle w:val="22"/>
        </w:rPr>
        <w:t>.</w:t>
      </w:r>
      <w:r>
        <w:rPr>
          <w:rStyle w:val="22"/>
          <w:rFonts w:hint="eastAsia"/>
        </w:rPr>
        <w:t>2</w:t>
      </w:r>
      <w:r>
        <w:t>  </w:t>
      </w:r>
      <w:r>
        <w:rPr>
          <w:rFonts w:hint="eastAsia"/>
        </w:rPr>
        <w:t>地基和基础施工前，应了解邻近既有建筑物或构筑物的结构形式、基础埋深和地基情况等；当地基和基础施工可能影响邻近既有建筑物或构筑物的安全时，应采取有效的处理措施。</w:t>
      </w:r>
    </w:p>
    <w:p w14:paraId="3C7D1B9A">
      <w:r>
        <w:rPr>
          <w:rStyle w:val="22"/>
          <w:rFonts w:hint="eastAsia"/>
          <w:lang w:val="en-US" w:eastAsia="zh-CN"/>
        </w:rPr>
        <w:t>7</w:t>
      </w:r>
      <w:r>
        <w:rPr>
          <w:rStyle w:val="22"/>
        </w:rPr>
        <w:t>.</w:t>
      </w:r>
      <w:r>
        <w:rPr>
          <w:rStyle w:val="22"/>
          <w:rFonts w:hint="eastAsia"/>
        </w:rPr>
        <w:t>3</w:t>
      </w:r>
      <w:r>
        <w:rPr>
          <w:rStyle w:val="22"/>
        </w:rPr>
        <w:t>.</w:t>
      </w:r>
      <w:r>
        <w:rPr>
          <w:rStyle w:val="22"/>
          <w:rFonts w:hint="eastAsia"/>
          <w:lang w:val="en-US" w:eastAsia="zh-CN"/>
        </w:rPr>
        <w:t>3</w:t>
      </w:r>
      <w:r>
        <w:t>  </w:t>
      </w:r>
      <w:r>
        <w:rPr>
          <w:rFonts w:hint="eastAsia"/>
        </w:rPr>
        <w:t>地基和基础施工的轴线定位点、高程水准基点，应妥善保护，并定期复测。</w:t>
      </w:r>
    </w:p>
    <w:p w14:paraId="26A56894">
      <w:r>
        <w:rPr>
          <w:rStyle w:val="22"/>
          <w:rFonts w:hint="eastAsia"/>
          <w:lang w:val="en-US" w:eastAsia="zh-CN"/>
        </w:rPr>
        <w:t>7</w:t>
      </w:r>
      <w:r>
        <w:rPr>
          <w:rStyle w:val="22"/>
        </w:rPr>
        <w:t>.</w:t>
      </w:r>
      <w:r>
        <w:rPr>
          <w:rStyle w:val="22"/>
          <w:rFonts w:hint="eastAsia"/>
        </w:rPr>
        <w:t>3</w:t>
      </w:r>
      <w:r>
        <w:rPr>
          <w:rStyle w:val="22"/>
        </w:rPr>
        <w:t>.</w:t>
      </w:r>
      <w:r>
        <w:rPr>
          <w:rStyle w:val="22"/>
          <w:rFonts w:hint="eastAsia"/>
          <w:lang w:val="en-US" w:eastAsia="zh-CN"/>
        </w:rPr>
        <w:t>4</w:t>
      </w:r>
      <w:r>
        <w:t>  </w:t>
      </w:r>
      <w:r>
        <w:rPr>
          <w:rFonts w:hint="eastAsia"/>
        </w:rPr>
        <w:t>地基和基础宜避开雨天施工；雨期施工时，应采取排水及覆盖措施。</w:t>
      </w:r>
    </w:p>
    <w:p w14:paraId="20BF1755">
      <w:r>
        <w:rPr>
          <w:rStyle w:val="22"/>
          <w:rFonts w:hint="eastAsia"/>
          <w:lang w:val="en-US" w:eastAsia="zh-CN"/>
        </w:rPr>
        <w:t>7</w:t>
      </w:r>
      <w:r>
        <w:rPr>
          <w:rStyle w:val="22"/>
        </w:rPr>
        <w:t>.</w:t>
      </w:r>
      <w:r>
        <w:rPr>
          <w:rStyle w:val="22"/>
          <w:rFonts w:hint="eastAsia"/>
        </w:rPr>
        <w:t>3</w:t>
      </w:r>
      <w:r>
        <w:rPr>
          <w:rStyle w:val="22"/>
        </w:rPr>
        <w:t>.</w:t>
      </w:r>
      <w:r>
        <w:rPr>
          <w:rStyle w:val="22"/>
          <w:rFonts w:hint="eastAsia"/>
          <w:lang w:val="en-US" w:eastAsia="zh-CN"/>
        </w:rPr>
        <w:t>5</w:t>
      </w:r>
      <w:r>
        <w:t>  </w:t>
      </w:r>
      <w:r>
        <w:rPr>
          <w:rFonts w:hint="eastAsia"/>
        </w:rPr>
        <w:t>地基和基础冬期施工时，应符合下列规定：</w:t>
      </w:r>
    </w:p>
    <w:p w14:paraId="4DEA496D">
      <w:pPr>
        <w:ind w:firstLine="482" w:firstLineChars="200"/>
      </w:pPr>
      <w:r>
        <w:rPr>
          <w:rFonts w:hint="eastAsia"/>
          <w:b/>
          <w:bCs/>
        </w:rPr>
        <w:t>1</w:t>
      </w:r>
      <w:r>
        <w:rPr>
          <w:rFonts w:hint="eastAsia"/>
        </w:rPr>
        <w:t xml:space="preserve">  应清除现场道路和施工地点的冰雪；</w:t>
      </w:r>
    </w:p>
    <w:p w14:paraId="1957421B">
      <w:pPr>
        <w:ind w:firstLine="482" w:firstLineChars="200"/>
      </w:pPr>
      <w:r>
        <w:rPr>
          <w:rFonts w:hint="eastAsia"/>
          <w:b/>
          <w:bCs/>
        </w:rPr>
        <w:t>2</w:t>
      </w:r>
      <w:r>
        <w:rPr>
          <w:rFonts w:hint="eastAsia"/>
        </w:rPr>
        <w:t xml:space="preserve">  应挖除影响地基和基础施工的冻土，并应采取防冻措施；</w:t>
      </w:r>
    </w:p>
    <w:p w14:paraId="49C83497">
      <w:pPr>
        <w:ind w:firstLine="482" w:firstLineChars="200"/>
      </w:pPr>
      <w:r>
        <w:rPr>
          <w:rFonts w:hint="eastAsia"/>
          <w:b/>
          <w:bCs/>
        </w:rPr>
        <w:t>3</w:t>
      </w:r>
      <w:r>
        <w:rPr>
          <w:rFonts w:hint="eastAsia"/>
        </w:rPr>
        <w:t xml:space="preserve">  不得使用冻结的材料进行基槽回填。</w:t>
      </w:r>
    </w:p>
    <w:p w14:paraId="3E348D7D">
      <w:r>
        <w:rPr>
          <w:rStyle w:val="22"/>
          <w:rFonts w:hint="eastAsia"/>
          <w:lang w:val="en-US" w:eastAsia="zh-CN"/>
        </w:rPr>
        <w:t>7</w:t>
      </w:r>
      <w:r>
        <w:rPr>
          <w:rStyle w:val="22"/>
        </w:rPr>
        <w:t>.</w:t>
      </w:r>
      <w:r>
        <w:rPr>
          <w:rStyle w:val="22"/>
          <w:rFonts w:hint="eastAsia"/>
        </w:rPr>
        <w:t>3</w:t>
      </w:r>
      <w:r>
        <w:rPr>
          <w:rStyle w:val="22"/>
        </w:rPr>
        <w:t>.</w:t>
      </w:r>
      <w:r>
        <w:rPr>
          <w:rStyle w:val="22"/>
          <w:rFonts w:hint="eastAsia"/>
          <w:lang w:val="en-US" w:eastAsia="zh-CN"/>
        </w:rPr>
        <w:t>6</w:t>
      </w:r>
      <w:r>
        <w:t>  </w:t>
      </w:r>
      <w:r>
        <w:rPr>
          <w:rFonts w:hint="eastAsia"/>
        </w:rPr>
        <w:t>地基和基础施工过程中，当遇有沟槽、洞穴、古井、古墓、暗塘等软硬不均匀土层</w:t>
      </w:r>
      <w:r>
        <w:rPr>
          <w:rFonts w:hint="eastAsia"/>
          <w:lang w:eastAsia="zh-CN"/>
        </w:rPr>
        <w:t>时，</w:t>
      </w:r>
      <w:r>
        <w:rPr>
          <w:rFonts w:hint="eastAsia"/>
        </w:rPr>
        <w:t>应挖除软弱土层或填充物，并应换土填实</w:t>
      </w:r>
      <w:r>
        <w:rPr>
          <w:rFonts w:hint="eastAsia"/>
          <w:lang w:eastAsia="zh-CN"/>
        </w:rPr>
        <w:t>；</w:t>
      </w:r>
      <w:r>
        <w:rPr>
          <w:rFonts w:hint="eastAsia"/>
        </w:rPr>
        <w:t>当遇有文物、化石或古迹遗址等</w:t>
      </w:r>
      <w:r>
        <w:rPr>
          <w:rFonts w:hint="eastAsia"/>
          <w:lang w:eastAsia="zh-CN"/>
        </w:rPr>
        <w:t>时，</w:t>
      </w:r>
      <w:r>
        <w:rPr>
          <w:rFonts w:hint="eastAsia"/>
        </w:rPr>
        <w:t>应立即保护好现场并报请当地文物管理部门处理。</w:t>
      </w:r>
    </w:p>
    <w:p w14:paraId="54BBA2EF">
      <w:r>
        <w:rPr>
          <w:rStyle w:val="22"/>
          <w:rFonts w:hint="eastAsia"/>
          <w:lang w:val="en-US" w:eastAsia="zh-CN"/>
        </w:rPr>
        <w:t>7</w:t>
      </w:r>
      <w:r>
        <w:rPr>
          <w:rStyle w:val="22"/>
        </w:rPr>
        <w:t>.</w:t>
      </w:r>
      <w:r>
        <w:rPr>
          <w:rStyle w:val="22"/>
          <w:rFonts w:hint="eastAsia"/>
        </w:rPr>
        <w:t>3</w:t>
      </w:r>
      <w:r>
        <w:rPr>
          <w:rStyle w:val="22"/>
        </w:rPr>
        <w:t>.</w:t>
      </w:r>
      <w:r>
        <w:rPr>
          <w:rStyle w:val="22"/>
          <w:rFonts w:hint="eastAsia"/>
          <w:lang w:val="en-US" w:eastAsia="zh-CN"/>
        </w:rPr>
        <w:t>7</w:t>
      </w:r>
      <w:r>
        <w:t>  </w:t>
      </w:r>
      <w:r>
        <w:rPr>
          <w:rFonts w:hint="eastAsia"/>
        </w:rPr>
        <w:t>对特殊土地基，宜按国家现行相关标准或根据当地经验采取处理措施。</w:t>
      </w:r>
    </w:p>
    <w:p w14:paraId="26AE7327"/>
    <w:p w14:paraId="48DA6259">
      <w:pPr>
        <w:pStyle w:val="3"/>
        <w:snapToGrid w:val="0"/>
        <w:rPr>
          <w:rStyle w:val="22"/>
          <w:b/>
        </w:rPr>
      </w:pPr>
      <w:bookmarkStart w:id="151" w:name="_Toc4329"/>
      <w:bookmarkStart w:id="152" w:name="_Toc295"/>
      <w:r>
        <w:rPr>
          <w:rFonts w:hint="eastAsia"/>
          <w:lang w:val="en-US" w:eastAsia="zh-CN"/>
        </w:rPr>
        <w:t>7</w:t>
      </w:r>
      <w:r>
        <w:t>.</w:t>
      </w:r>
      <w:r>
        <w:rPr>
          <w:rFonts w:hint="eastAsia"/>
        </w:rPr>
        <w:t>4</w:t>
      </w:r>
      <w:r>
        <w:t>  </w:t>
      </w:r>
      <w:r>
        <w:rPr>
          <w:rFonts w:hint="eastAsia"/>
        </w:rPr>
        <w:t>墙体施工</w:t>
      </w:r>
      <w:bookmarkEnd w:id="151"/>
      <w:bookmarkEnd w:id="152"/>
    </w:p>
    <w:p w14:paraId="47C7BEB1">
      <w:pPr>
        <w:keepNext w:val="0"/>
        <w:keepLines w:val="0"/>
        <w:pageBreakBefore w:val="0"/>
        <w:widowControl w:val="0"/>
        <w:kinsoku/>
        <w:wordWrap/>
        <w:overflowPunct/>
        <w:topLinePunct w:val="0"/>
        <w:autoSpaceDE/>
        <w:autoSpaceDN/>
        <w:bidi w:val="0"/>
        <w:adjustRightInd/>
        <w:textAlignment w:val="auto"/>
      </w:pPr>
      <w:r>
        <w:rPr>
          <w:rStyle w:val="22"/>
          <w:rFonts w:hint="eastAsia"/>
          <w:lang w:val="en-US" w:eastAsia="zh-CN"/>
        </w:rPr>
        <w:t>7</w:t>
      </w:r>
      <w:r>
        <w:rPr>
          <w:rStyle w:val="22"/>
        </w:rPr>
        <w:t>.</w:t>
      </w:r>
      <w:r>
        <w:rPr>
          <w:rStyle w:val="22"/>
          <w:rFonts w:hint="eastAsia"/>
        </w:rPr>
        <w:t>4</w:t>
      </w:r>
      <w:r>
        <w:rPr>
          <w:rStyle w:val="22"/>
        </w:rPr>
        <w:t>.</w:t>
      </w:r>
      <w:r>
        <w:rPr>
          <w:rStyle w:val="22"/>
          <w:rFonts w:hint="eastAsia"/>
        </w:rPr>
        <w:t>1</w:t>
      </w:r>
      <w:r>
        <w:t>  </w:t>
      </w:r>
      <w:r>
        <w:rPr>
          <w:rFonts w:hint="eastAsia"/>
        </w:rPr>
        <w:t>注仓式自保温装配集成墙体施工</w:t>
      </w:r>
      <w:r>
        <w:t>应符合</w:t>
      </w:r>
      <w:r>
        <w:rPr>
          <w:rFonts w:hint="eastAsia"/>
        </w:rPr>
        <w:t>现行地方标准《四川省注仓式自保温装配集成墙体应用技术标准》DBJ51/T 272和现行团体标准《注仓式装配复合轻质墙体应用技术标准》T/ASC 53、T/CCES 54的规定。</w:t>
      </w:r>
    </w:p>
    <w:p w14:paraId="4B5B925B">
      <w:pPr>
        <w:keepNext w:val="0"/>
        <w:keepLines w:val="0"/>
        <w:pageBreakBefore w:val="0"/>
        <w:widowControl w:val="0"/>
        <w:kinsoku/>
        <w:wordWrap/>
        <w:overflowPunct/>
        <w:topLinePunct w:val="0"/>
        <w:autoSpaceDE/>
        <w:autoSpaceDN/>
        <w:bidi w:val="0"/>
        <w:adjustRightInd/>
        <w:snapToGrid w:val="0"/>
        <w:textAlignment w:val="auto"/>
      </w:pPr>
      <w:r>
        <w:rPr>
          <w:rStyle w:val="22"/>
          <w:rFonts w:hint="eastAsia"/>
          <w:lang w:val="en-US" w:eastAsia="zh-CN"/>
        </w:rPr>
        <w:t>7</w:t>
      </w:r>
      <w:r>
        <w:rPr>
          <w:rStyle w:val="22"/>
        </w:rPr>
        <w:t>.</w:t>
      </w:r>
      <w:r>
        <w:rPr>
          <w:rStyle w:val="22"/>
          <w:rFonts w:hint="eastAsia"/>
        </w:rPr>
        <w:t>4</w:t>
      </w:r>
      <w:r>
        <w:rPr>
          <w:rStyle w:val="22"/>
        </w:rPr>
        <w:t>.</w:t>
      </w:r>
      <w:r>
        <w:rPr>
          <w:rStyle w:val="22"/>
          <w:rFonts w:hint="eastAsia"/>
        </w:rPr>
        <w:t>2</w:t>
      </w:r>
      <w:r>
        <w:t>  </w:t>
      </w:r>
      <w:r>
        <w:rPr>
          <w:rFonts w:hint="eastAsia"/>
        </w:rPr>
        <w:t>注仓式自保温装配集成墙体</w:t>
      </w:r>
      <w:r>
        <w:t>应在主体结构分部工程验收合格后施工。</w:t>
      </w:r>
    </w:p>
    <w:p w14:paraId="2B497E32">
      <w:pPr>
        <w:keepNext w:val="0"/>
        <w:keepLines w:val="0"/>
        <w:pageBreakBefore w:val="0"/>
        <w:widowControl w:val="0"/>
        <w:kinsoku/>
        <w:wordWrap/>
        <w:overflowPunct/>
        <w:topLinePunct w:val="0"/>
        <w:autoSpaceDE/>
        <w:autoSpaceDN/>
        <w:bidi w:val="0"/>
        <w:adjustRightInd/>
        <w:snapToGrid w:val="0"/>
        <w:textAlignment w:val="auto"/>
      </w:pPr>
      <w:r>
        <w:rPr>
          <w:rStyle w:val="22"/>
          <w:rFonts w:hint="eastAsia"/>
          <w:lang w:val="en-US" w:eastAsia="zh-CN"/>
        </w:rPr>
        <w:t>7</w:t>
      </w:r>
      <w:r>
        <w:rPr>
          <w:rStyle w:val="22"/>
        </w:rPr>
        <w:t>.</w:t>
      </w:r>
      <w:r>
        <w:rPr>
          <w:rStyle w:val="22"/>
          <w:rFonts w:hint="eastAsia"/>
        </w:rPr>
        <w:t>4</w:t>
      </w:r>
      <w:r>
        <w:rPr>
          <w:rStyle w:val="22"/>
        </w:rPr>
        <w:t>.</w:t>
      </w:r>
      <w:r>
        <w:rPr>
          <w:rStyle w:val="22"/>
          <w:rFonts w:hint="eastAsia"/>
        </w:rPr>
        <w:t>3</w:t>
      </w:r>
      <w:r>
        <w:rPr>
          <w:rStyle w:val="22"/>
        </w:rPr>
        <w:t xml:space="preserve">  </w:t>
      </w:r>
      <w:r>
        <w:rPr>
          <w:rFonts w:hint="eastAsia"/>
        </w:rPr>
        <w:t>注仓式自保温装配集成墙体可采用下列</w:t>
      </w:r>
      <w:r>
        <w:t>施工流程：</w:t>
      </w:r>
    </w:p>
    <w:p w14:paraId="0510A202">
      <w:pPr>
        <w:keepNext w:val="0"/>
        <w:keepLines w:val="0"/>
        <w:pageBreakBefore w:val="0"/>
        <w:widowControl w:val="0"/>
        <w:kinsoku/>
        <w:wordWrap/>
        <w:overflowPunct/>
        <w:topLinePunct w:val="0"/>
        <w:autoSpaceDE/>
        <w:autoSpaceDN/>
        <w:bidi w:val="0"/>
        <w:adjustRightInd/>
        <w:snapToGrid w:val="0"/>
        <w:ind w:firstLine="480" w:firstLineChars="200"/>
        <w:textAlignment w:val="auto"/>
      </w:pPr>
      <w:r>
        <w:t>基层清理→测量放线→连接件安装→</w:t>
      </w:r>
      <w:r>
        <w:rPr>
          <w:rFonts w:hint="eastAsia"/>
          <w:lang w:val="en-US" w:eastAsia="zh-CN"/>
        </w:rPr>
        <w:t>洞口处面板</w:t>
      </w:r>
      <w:r>
        <w:t>安装→单侧</w:t>
      </w:r>
      <w:r>
        <w:rPr>
          <w:rFonts w:hint="eastAsia"/>
        </w:rPr>
        <w:t>墙体面板</w:t>
      </w:r>
      <w:r>
        <w:t>安装→</w:t>
      </w:r>
      <w:r>
        <w:rPr>
          <w:rFonts w:hint="eastAsia"/>
        </w:rPr>
        <w:t>管线</w:t>
      </w:r>
      <w:r>
        <w:t>预埋→</w:t>
      </w:r>
      <w:r>
        <w:rPr>
          <w:rFonts w:hint="eastAsia"/>
        </w:rPr>
        <w:t>保温材料</w:t>
      </w:r>
      <w:r>
        <w:t>安装→另一侧</w:t>
      </w:r>
      <w:r>
        <w:rPr>
          <w:rFonts w:hint="eastAsia"/>
        </w:rPr>
        <w:t>墙体面板</w:t>
      </w:r>
      <w:r>
        <w:t>安装→</w:t>
      </w:r>
      <w:r>
        <w:rPr>
          <w:rFonts w:hint="eastAsia"/>
          <w:lang w:val="en-US" w:eastAsia="zh-CN"/>
        </w:rPr>
        <w:t>界面缝封闭</w:t>
      </w:r>
      <w:r>
        <w:t>→浇筑注仓料。</w:t>
      </w:r>
    </w:p>
    <w:p w14:paraId="33E0FEDF">
      <w:pPr>
        <w:pStyle w:val="7"/>
        <w:keepNext w:val="0"/>
        <w:keepLines w:val="0"/>
        <w:pageBreakBefore w:val="0"/>
        <w:widowControl w:val="0"/>
        <w:kinsoku/>
        <w:wordWrap/>
        <w:overflowPunct/>
        <w:topLinePunct w:val="0"/>
        <w:autoSpaceDE/>
        <w:autoSpaceDN/>
        <w:bidi w:val="0"/>
        <w:adjustRightInd/>
        <w:spacing w:after="0"/>
        <w:textAlignment w:val="auto"/>
        <w:rPr>
          <w:rFonts w:hint="default"/>
          <w:lang w:val="en-US"/>
        </w:rPr>
      </w:pPr>
      <w:r>
        <w:rPr>
          <w:rStyle w:val="22"/>
          <w:rFonts w:hint="eastAsia"/>
          <w:lang w:val="en-US" w:eastAsia="zh-CN"/>
        </w:rPr>
        <w:t>7</w:t>
      </w:r>
      <w:r>
        <w:rPr>
          <w:rStyle w:val="22"/>
        </w:rPr>
        <w:t>.</w:t>
      </w:r>
      <w:r>
        <w:rPr>
          <w:rStyle w:val="22"/>
          <w:rFonts w:hint="eastAsia"/>
        </w:rPr>
        <w:t>4</w:t>
      </w:r>
      <w:r>
        <w:rPr>
          <w:rStyle w:val="22"/>
        </w:rPr>
        <w:t>.</w:t>
      </w:r>
      <w:r>
        <w:rPr>
          <w:rStyle w:val="22"/>
          <w:rFonts w:hint="eastAsia"/>
          <w:lang w:val="en-US" w:eastAsia="zh-CN"/>
        </w:rPr>
        <w:t>4</w:t>
      </w:r>
      <w:r>
        <w:rPr>
          <w:rStyle w:val="22"/>
        </w:rPr>
        <w:t xml:space="preserve">  </w:t>
      </w:r>
      <w:r>
        <w:rPr>
          <w:rFonts w:hint="eastAsia"/>
        </w:rPr>
        <w:t>注仓式自保温装配集成墙体</w:t>
      </w:r>
      <w:r>
        <w:rPr>
          <w:rFonts w:hint="eastAsia"/>
          <w:lang w:val="en-US" w:eastAsia="zh-CN"/>
        </w:rPr>
        <w:t>的面板之间、面板与主体结构之间形成的界面缝应采用柔性材料填充，其构造应根据气候分区进行适配性设计。当采用柔性砂浆时，其断裂伸长率应满足设计和现行相关标准的要求。</w:t>
      </w:r>
    </w:p>
    <w:p w14:paraId="628FA0AA">
      <w:r>
        <w:rPr>
          <w:rFonts w:hint="eastAsia"/>
        </w:rPr>
        <w:br w:type="page"/>
      </w:r>
    </w:p>
    <w:p w14:paraId="47776F2F">
      <w:pPr>
        <w:pStyle w:val="2"/>
      </w:pPr>
      <w:bookmarkStart w:id="153" w:name="_Toc2813"/>
      <w:bookmarkStart w:id="154" w:name="_Toc16484"/>
      <w:r>
        <w:rPr>
          <w:rFonts w:hint="eastAsia"/>
          <w:lang w:val="en-US" w:eastAsia="zh-CN"/>
        </w:rPr>
        <w:t>8</w:t>
      </w:r>
      <w:r>
        <w:t xml:space="preserve">  </w:t>
      </w:r>
      <w:r>
        <w:rPr>
          <w:rFonts w:hint="eastAsia"/>
        </w:rPr>
        <w:t>验  收</w:t>
      </w:r>
      <w:bookmarkEnd w:id="153"/>
      <w:bookmarkEnd w:id="154"/>
    </w:p>
    <w:p w14:paraId="562CCFEF">
      <w:r>
        <w:rPr>
          <w:rStyle w:val="24"/>
          <w:rFonts w:hint="eastAsia" w:cs="宋体"/>
          <w:lang w:val="en-US" w:eastAsia="zh-CN"/>
        </w:rPr>
        <w:t>8</w:t>
      </w:r>
      <w:r>
        <w:rPr>
          <w:rStyle w:val="24"/>
          <w:rFonts w:hint="eastAsia" w:cs="宋体"/>
        </w:rPr>
        <w:t>.0.1</w:t>
      </w:r>
      <w:r>
        <w:rPr>
          <w:rFonts w:hint="eastAsia"/>
        </w:rPr>
        <w:t>  注仓式自保温装配式农房建筑工程施工质量的检查和验收应符合现行国家标准《建筑工程施工质量验收统一标准》GB 50300、《建筑地基基础工程施工质量验收规范》GB 50202、《混凝土结构工程施工质量验收规范》GB 50204、《建筑节能工程施工质量验收标准》GB 50411、</w:t>
      </w:r>
      <w:r>
        <w:rPr>
          <w:rFonts w:hint="eastAsia" w:cstheme="minorBidi"/>
        </w:rPr>
        <w:t>《钢结构工程施工质量验收标准》GB 50205</w:t>
      </w:r>
      <w:r>
        <w:rPr>
          <w:rFonts w:hint="eastAsia" w:cstheme="minorBidi"/>
          <w:lang w:eastAsia="zh-CN"/>
        </w:rPr>
        <w:t>；</w:t>
      </w:r>
      <w:r>
        <w:rPr>
          <w:rFonts w:hint="eastAsia"/>
        </w:rPr>
        <w:t>现行地方标准《四川省注仓式自保温装配集成墙体应用技术标准》DBJ51/T 272</w:t>
      </w:r>
      <w:r>
        <w:rPr>
          <w:rFonts w:hint="eastAsia"/>
          <w:lang w:eastAsia="zh-CN"/>
        </w:rPr>
        <w:t>；</w:t>
      </w:r>
      <w:r>
        <w:rPr>
          <w:rFonts w:hint="eastAsia"/>
        </w:rPr>
        <w:t>现行团体标准《注仓式装配复合轻质墙体应用技术标准》T/ASC 53、T/CCES 54</w:t>
      </w:r>
      <w:r>
        <w:rPr>
          <w:rFonts w:hint="eastAsia" w:cstheme="minorBidi"/>
        </w:rPr>
        <w:t>等</w:t>
      </w:r>
      <w:r>
        <w:rPr>
          <w:rFonts w:hint="eastAsia"/>
        </w:rPr>
        <w:t>的规定。</w:t>
      </w:r>
    </w:p>
    <w:p w14:paraId="74E12F1B">
      <w:r>
        <w:rPr>
          <w:rStyle w:val="22"/>
          <w:rFonts w:hint="eastAsia"/>
          <w:lang w:val="en-US" w:eastAsia="zh-CN"/>
        </w:rPr>
        <w:t>8</w:t>
      </w:r>
      <w:r>
        <w:rPr>
          <w:rStyle w:val="22"/>
          <w:rFonts w:hint="eastAsia"/>
        </w:rPr>
        <w:t>.0.2</w:t>
      </w:r>
      <w:r>
        <w:rPr>
          <w:rFonts w:hint="eastAsia"/>
        </w:rPr>
        <w:t>  检验批的划分应符合现行国家标准《建筑工程施工质量验收统一标准》GB 50300的有关规定。</w:t>
      </w:r>
    </w:p>
    <w:p w14:paraId="21D1A938">
      <w:pPr>
        <w:snapToGrid w:val="0"/>
      </w:pPr>
      <w:r>
        <w:rPr>
          <w:rStyle w:val="24"/>
          <w:rFonts w:hint="eastAsia" w:cs="宋体"/>
          <w:lang w:val="en-US" w:eastAsia="zh-CN"/>
        </w:rPr>
        <w:t>8</w:t>
      </w:r>
      <w:r>
        <w:rPr>
          <w:rStyle w:val="24"/>
          <w:rFonts w:hint="eastAsia" w:cs="宋体"/>
        </w:rPr>
        <w:t>.0.3</w:t>
      </w:r>
      <w:r>
        <w:rPr>
          <w:rFonts w:hint="eastAsia"/>
        </w:rPr>
        <w:t>  检验批质量验收合格</w:t>
      </w:r>
      <w:r>
        <w:t>应符合下列规定：</w:t>
      </w:r>
    </w:p>
    <w:p w14:paraId="3F42CCB0">
      <w:pPr>
        <w:snapToGrid w:val="0"/>
        <w:ind w:firstLine="482" w:firstLineChars="200"/>
      </w:pPr>
      <w:r>
        <w:rPr>
          <w:b/>
          <w:bCs/>
        </w:rPr>
        <w:t>1</w:t>
      </w:r>
      <w:r>
        <w:t xml:space="preserve"> </w:t>
      </w:r>
      <w:r>
        <w:rPr>
          <w:rFonts w:hint="eastAsia"/>
        </w:rPr>
        <w:t xml:space="preserve"> 主控项目的</w:t>
      </w:r>
      <w:r>
        <w:t>质量经抽查检验均应合格</w:t>
      </w:r>
      <w:r>
        <w:rPr>
          <w:rFonts w:hint="eastAsia"/>
        </w:rPr>
        <w:t>。</w:t>
      </w:r>
    </w:p>
    <w:p w14:paraId="7AFAE7CF">
      <w:pPr>
        <w:snapToGrid w:val="0"/>
        <w:ind w:firstLine="482" w:firstLineChars="200"/>
      </w:pPr>
      <w:r>
        <w:rPr>
          <w:rFonts w:hint="eastAsia"/>
          <w:b/>
          <w:bCs/>
        </w:rPr>
        <w:t>2</w:t>
      </w:r>
      <w:r>
        <w:rPr>
          <w:rFonts w:hint="eastAsia"/>
        </w:rPr>
        <w:t xml:space="preserve">  </w:t>
      </w:r>
      <w:r>
        <w:t>一般项目的质量经抽样检验应合格</w:t>
      </w:r>
      <w:r>
        <w:rPr>
          <w:rFonts w:hint="eastAsia"/>
        </w:rPr>
        <w:t>；</w:t>
      </w:r>
      <w:r>
        <w:t>一般项目当采用计数抽样检验时，其合格点率应达到</w:t>
      </w:r>
      <w:r>
        <w:rPr>
          <w:rFonts w:hint="eastAsia"/>
        </w:rPr>
        <w:t>8</w:t>
      </w:r>
      <w:r>
        <w:t>0%及以上，且</w:t>
      </w:r>
      <w:r>
        <w:rPr>
          <w:rFonts w:hint="eastAsia"/>
        </w:rPr>
        <w:t>最大</w:t>
      </w:r>
      <w:r>
        <w:t>偏差不应超过其允许值的1.5倍</w:t>
      </w:r>
      <w:r>
        <w:rPr>
          <w:rFonts w:hint="eastAsia"/>
        </w:rPr>
        <w:t>。</w:t>
      </w:r>
    </w:p>
    <w:p w14:paraId="0C5209CE">
      <w:pPr>
        <w:snapToGrid w:val="0"/>
        <w:ind w:firstLine="482" w:firstLineChars="200"/>
      </w:pPr>
      <w:r>
        <w:rPr>
          <w:rFonts w:hint="eastAsia"/>
          <w:b/>
          <w:bCs/>
        </w:rPr>
        <w:t>3</w:t>
      </w:r>
      <w:r>
        <w:t xml:space="preserve"> </w:t>
      </w:r>
      <w:r>
        <w:rPr>
          <w:rFonts w:hint="eastAsia"/>
        </w:rPr>
        <w:t xml:space="preserve"> </w:t>
      </w:r>
      <w:r>
        <w:t>应具有完整的质量验收记录</w:t>
      </w:r>
      <w:r>
        <w:rPr>
          <w:rFonts w:hint="eastAsia"/>
        </w:rPr>
        <w:t>，</w:t>
      </w:r>
      <w:r>
        <w:t>质量检验记录应符合</w:t>
      </w:r>
      <w:r>
        <w:rPr>
          <w:rFonts w:hint="eastAsia"/>
        </w:rPr>
        <w:t>现行国家标准《建筑工程施工质量验收统一标准》GB 50300的有关规定。</w:t>
      </w:r>
    </w:p>
    <w:p w14:paraId="2D8BDE0B">
      <w:pPr>
        <w:snapToGrid w:val="0"/>
      </w:pPr>
      <w:r>
        <w:rPr>
          <w:rStyle w:val="24"/>
          <w:rFonts w:hint="eastAsia" w:cs="宋体"/>
          <w:lang w:val="en-US" w:eastAsia="zh-CN"/>
        </w:rPr>
        <w:t>8</w:t>
      </w:r>
      <w:r>
        <w:rPr>
          <w:rStyle w:val="24"/>
          <w:rFonts w:hint="eastAsia" w:cs="宋体"/>
        </w:rPr>
        <w:t>.0.4</w:t>
      </w:r>
      <w:r>
        <w:rPr>
          <w:rFonts w:hint="eastAsia"/>
        </w:rPr>
        <w:t>  验收时应检查下列文件和记录：</w:t>
      </w:r>
    </w:p>
    <w:p w14:paraId="36463B6E">
      <w:pPr>
        <w:snapToGrid w:val="0"/>
        <w:ind w:firstLine="482" w:firstLineChars="200"/>
      </w:pPr>
      <w:r>
        <w:rPr>
          <w:rFonts w:hint="eastAsia"/>
          <w:b/>
          <w:bCs/>
        </w:rPr>
        <w:t>1</w:t>
      </w:r>
      <w:r>
        <w:rPr>
          <w:rFonts w:hint="eastAsia"/>
        </w:rPr>
        <w:t xml:space="preserve">  工程设计文件、安装深化设计图纸及其</w:t>
      </w:r>
      <w:r>
        <w:rPr>
          <w:rFonts w:hint="eastAsia"/>
          <w:lang w:eastAsia="zh-CN"/>
        </w:rPr>
        <w:t>他</w:t>
      </w:r>
      <w:r>
        <w:rPr>
          <w:rFonts w:hint="eastAsia"/>
        </w:rPr>
        <w:t>设计文件；</w:t>
      </w:r>
    </w:p>
    <w:p w14:paraId="0757DE41">
      <w:pPr>
        <w:ind w:firstLine="482" w:firstLineChars="200"/>
      </w:pPr>
      <w:r>
        <w:rPr>
          <w:rFonts w:hint="eastAsia"/>
          <w:b/>
          <w:bCs/>
        </w:rPr>
        <w:t>2</w:t>
      </w:r>
      <w:r>
        <w:rPr>
          <w:rFonts w:hint="eastAsia"/>
        </w:rPr>
        <w:t xml:space="preserve">  原材料、构件及连接件的产品合格证、性能检测报告、进场验收记录和抽样复检报告；</w:t>
      </w:r>
    </w:p>
    <w:p w14:paraId="63E63353">
      <w:pPr>
        <w:ind w:firstLine="482" w:firstLineChars="200"/>
      </w:pPr>
      <w:r>
        <w:rPr>
          <w:rFonts w:hint="eastAsia"/>
          <w:b/>
          <w:bCs/>
        </w:rPr>
        <w:t>3</w:t>
      </w:r>
      <w:r>
        <w:rPr>
          <w:rFonts w:hint="eastAsia"/>
        </w:rPr>
        <w:t xml:space="preserve">  隐蔽工程验收记录；</w:t>
      </w:r>
    </w:p>
    <w:p w14:paraId="6715DB78">
      <w:pPr>
        <w:ind w:firstLine="482" w:firstLineChars="200"/>
      </w:pPr>
      <w:r>
        <w:rPr>
          <w:rFonts w:hint="eastAsia"/>
          <w:b/>
          <w:bCs/>
        </w:rPr>
        <w:t>4</w:t>
      </w:r>
      <w:r>
        <w:rPr>
          <w:rFonts w:hint="eastAsia"/>
        </w:rPr>
        <w:t xml:space="preserve">  施工记录；</w:t>
      </w:r>
    </w:p>
    <w:p w14:paraId="6FE036FF">
      <w:pPr>
        <w:ind w:firstLine="482" w:firstLineChars="200"/>
      </w:pPr>
      <w:r>
        <w:rPr>
          <w:rFonts w:hint="eastAsia"/>
          <w:b/>
          <w:bCs/>
        </w:rPr>
        <w:t>5</w:t>
      </w:r>
      <w:r>
        <w:rPr>
          <w:rFonts w:hint="eastAsia"/>
        </w:rPr>
        <w:t xml:space="preserve">  检验批和分项工程质量验收记录；</w:t>
      </w:r>
    </w:p>
    <w:p w14:paraId="1CEA4F7E">
      <w:pPr>
        <w:ind w:firstLine="482" w:firstLineChars="200"/>
      </w:pPr>
      <w:r>
        <w:rPr>
          <w:rFonts w:hint="eastAsia"/>
          <w:b/>
          <w:bCs/>
        </w:rPr>
        <w:t>6</w:t>
      </w:r>
      <w:r>
        <w:t xml:space="preserve"> </w:t>
      </w:r>
      <w:r>
        <w:rPr>
          <w:rFonts w:hint="eastAsia"/>
        </w:rPr>
        <w:t xml:space="preserve"> </w:t>
      </w:r>
      <w:r>
        <w:rPr>
          <w:rFonts w:hint="eastAsia"/>
          <w:lang w:eastAsia="zh-CN"/>
        </w:rPr>
        <w:t>其他必要的</w:t>
      </w:r>
      <w:r>
        <w:rPr>
          <w:rFonts w:hint="eastAsia"/>
        </w:rPr>
        <w:t>文件和</w:t>
      </w:r>
      <w:r>
        <w:t>记录</w:t>
      </w:r>
      <w:r>
        <w:rPr>
          <w:rFonts w:hint="eastAsia"/>
        </w:rPr>
        <w:t>等</w:t>
      </w:r>
      <w:r>
        <w:t>。</w:t>
      </w:r>
    </w:p>
    <w:p w14:paraId="751BF151">
      <w:r>
        <w:rPr>
          <w:rStyle w:val="24"/>
          <w:rFonts w:hint="eastAsia"/>
          <w:lang w:val="en-US" w:eastAsia="zh-CN"/>
        </w:rPr>
        <w:t>8</w:t>
      </w:r>
      <w:r>
        <w:rPr>
          <w:rStyle w:val="24"/>
        </w:rPr>
        <w:t>.</w:t>
      </w:r>
      <w:r>
        <w:rPr>
          <w:rStyle w:val="24"/>
          <w:rFonts w:hint="eastAsia"/>
        </w:rPr>
        <w:t>0</w:t>
      </w:r>
      <w:r>
        <w:rPr>
          <w:rStyle w:val="24"/>
        </w:rPr>
        <w:t>.</w:t>
      </w:r>
      <w:r>
        <w:rPr>
          <w:rStyle w:val="24"/>
          <w:rFonts w:hint="eastAsia"/>
        </w:rPr>
        <w:t>5</w:t>
      </w:r>
      <w:r>
        <w:t>  当施工质量不</w:t>
      </w:r>
      <w:r>
        <w:rPr>
          <w:rFonts w:hint="eastAsia"/>
        </w:rPr>
        <w:t>满足</w:t>
      </w:r>
      <w:r>
        <w:t>要求时，应经返工、返修后重新</w:t>
      </w:r>
      <w:r>
        <w:rPr>
          <w:rFonts w:hint="eastAsia"/>
        </w:rPr>
        <w:t>按有关规定</w:t>
      </w:r>
      <w:r>
        <w:t>进行验收。</w:t>
      </w:r>
    </w:p>
    <w:p w14:paraId="110BF17C">
      <w:r>
        <w:rPr>
          <w:rStyle w:val="24"/>
          <w:rFonts w:hint="eastAsia"/>
          <w:lang w:val="en-US" w:eastAsia="zh-CN"/>
        </w:rPr>
        <w:t>8</w:t>
      </w:r>
      <w:r>
        <w:rPr>
          <w:rStyle w:val="24"/>
        </w:rPr>
        <w:t>.</w:t>
      </w:r>
      <w:r>
        <w:rPr>
          <w:rStyle w:val="24"/>
          <w:rFonts w:hint="eastAsia"/>
        </w:rPr>
        <w:t>0</w:t>
      </w:r>
      <w:r>
        <w:rPr>
          <w:rStyle w:val="24"/>
        </w:rPr>
        <w:t>.</w:t>
      </w:r>
      <w:r>
        <w:rPr>
          <w:rStyle w:val="24"/>
          <w:rFonts w:hint="eastAsia"/>
        </w:rPr>
        <w:t>6</w:t>
      </w:r>
      <w:r>
        <w:t>  施工质量验收合格后，验收文件</w:t>
      </w:r>
      <w:r>
        <w:rPr>
          <w:rFonts w:hint="eastAsia"/>
        </w:rPr>
        <w:t>应</w:t>
      </w:r>
      <w:r>
        <w:t>存档备案。</w:t>
      </w:r>
    </w:p>
    <w:p w14:paraId="10701932"/>
    <w:p w14:paraId="75AD6FDB">
      <w:r>
        <w:br w:type="page"/>
      </w:r>
    </w:p>
    <w:bookmarkEnd w:id="145"/>
    <w:bookmarkEnd w:id="146"/>
    <w:bookmarkEnd w:id="147"/>
    <w:bookmarkEnd w:id="148"/>
    <w:p w14:paraId="2FF6021D">
      <w:pPr>
        <w:pStyle w:val="2"/>
      </w:pPr>
      <w:bookmarkStart w:id="155" w:name="_Toc1489"/>
      <w:bookmarkStart w:id="156" w:name="_Toc20057"/>
      <w:bookmarkStart w:id="157" w:name="_Toc25963"/>
      <w:bookmarkStart w:id="158" w:name="_Toc174732756"/>
      <w:bookmarkStart w:id="159" w:name="_Toc4235"/>
      <w:bookmarkStart w:id="160" w:name="_Toc18500"/>
      <w:bookmarkStart w:id="161" w:name="_Toc20511"/>
      <w:r>
        <w:t>本标准用词说明</w:t>
      </w:r>
      <w:bookmarkEnd w:id="135"/>
      <w:bookmarkEnd w:id="155"/>
      <w:bookmarkEnd w:id="156"/>
      <w:bookmarkEnd w:id="157"/>
      <w:bookmarkEnd w:id="158"/>
      <w:bookmarkEnd w:id="159"/>
      <w:bookmarkEnd w:id="160"/>
      <w:bookmarkEnd w:id="161"/>
    </w:p>
    <w:p w14:paraId="0A477E01">
      <w:pPr>
        <w:snapToGrid w:val="0"/>
      </w:pPr>
      <w:r>
        <w:t>1  为便于在执行本标准条文时区别对待，对要求严格程度不同的用词说明如下：</w:t>
      </w:r>
    </w:p>
    <w:p w14:paraId="2560BFF7">
      <w:pPr>
        <w:snapToGrid w:val="0"/>
      </w:pPr>
      <w:r>
        <w:t>    1</w:t>
      </w:r>
      <w:r>
        <w:rPr>
          <w:rFonts w:hint="eastAsia"/>
          <w:lang w:eastAsia="zh-CN"/>
        </w:rPr>
        <w:t>）</w:t>
      </w:r>
      <w:r>
        <w:t>表示很严格，非这样做不可的：</w:t>
      </w:r>
    </w:p>
    <w:p w14:paraId="3E97931D">
      <w:pPr>
        <w:snapToGrid w:val="0"/>
      </w:pPr>
      <w:r>
        <w:t>      正面词采用“必须”，反面词采用“严禁”；</w:t>
      </w:r>
    </w:p>
    <w:p w14:paraId="62ABA4C5">
      <w:pPr>
        <w:snapToGrid w:val="0"/>
      </w:pPr>
      <w:r>
        <w:t>    2</w:t>
      </w:r>
      <w:r>
        <w:rPr>
          <w:rFonts w:hint="eastAsia"/>
          <w:lang w:eastAsia="zh-CN"/>
        </w:rPr>
        <w:t>）</w:t>
      </w:r>
      <w:r>
        <w:t>表示严格，在正常情况下均应这样做的：</w:t>
      </w:r>
    </w:p>
    <w:p w14:paraId="57FD304E">
      <w:pPr>
        <w:snapToGrid w:val="0"/>
      </w:pPr>
      <w:r>
        <w:t>      正面词采用“应”，反面词采用“不应”或“不得”；</w:t>
      </w:r>
    </w:p>
    <w:p w14:paraId="03C8B18C">
      <w:pPr>
        <w:snapToGrid w:val="0"/>
      </w:pPr>
      <w:r>
        <w:t>    3</w:t>
      </w:r>
      <w:r>
        <w:rPr>
          <w:rFonts w:hint="eastAsia"/>
          <w:lang w:eastAsia="zh-CN"/>
        </w:rPr>
        <w:t>）</w:t>
      </w:r>
      <w:r>
        <w:t>表示允许稍有选择，在条件许可时首先这样做的：</w:t>
      </w:r>
    </w:p>
    <w:p w14:paraId="1980058B">
      <w:pPr>
        <w:snapToGrid w:val="0"/>
      </w:pPr>
      <w:r>
        <w:t>      正面词采用“宜”，反面词采用“不宜”；</w:t>
      </w:r>
    </w:p>
    <w:p w14:paraId="7BBAD2E1">
      <w:pPr>
        <w:snapToGrid w:val="0"/>
      </w:pPr>
      <w:r>
        <w:t>    4</w:t>
      </w:r>
      <w:r>
        <w:rPr>
          <w:rFonts w:hint="eastAsia"/>
          <w:lang w:eastAsia="zh-CN"/>
        </w:rPr>
        <w:t>）</w:t>
      </w:r>
      <w:r>
        <w:t>表示有选择，在一定条件下可以这样做的，采用“可”。</w:t>
      </w:r>
    </w:p>
    <w:p w14:paraId="18334FEC">
      <w:pPr>
        <w:snapToGrid w:val="0"/>
      </w:pPr>
      <w:r>
        <w:t>2  条文中指明应按其他有关标准执行的写法为：“应符合……的规定”或“应按……执行”。</w:t>
      </w:r>
    </w:p>
    <w:p w14:paraId="349176F9">
      <w:pPr>
        <w:snapToGrid w:val="0"/>
      </w:pPr>
    </w:p>
    <w:p w14:paraId="78EEA355">
      <w:pPr>
        <w:snapToGrid w:val="0"/>
        <w:sectPr>
          <w:footerReference r:id="rId9" w:type="default"/>
          <w:pgSz w:w="11906" w:h="16838"/>
          <w:pgMar w:top="1440" w:right="1800" w:bottom="1440" w:left="1800" w:header="851" w:footer="992" w:gutter="0"/>
          <w:pgNumType w:start="1"/>
          <w:cols w:space="720" w:num="1"/>
          <w:docGrid w:type="lines" w:linePitch="312" w:charSpace="0"/>
        </w:sectPr>
      </w:pPr>
    </w:p>
    <w:p w14:paraId="0EE134DE">
      <w:pPr>
        <w:pStyle w:val="2"/>
      </w:pPr>
      <w:bookmarkStart w:id="162" w:name="_Toc19171"/>
      <w:bookmarkStart w:id="163" w:name="_Toc8823"/>
      <w:bookmarkStart w:id="164" w:name="_Toc13683"/>
      <w:bookmarkStart w:id="165" w:name="_Toc10636"/>
      <w:bookmarkStart w:id="166" w:name="_Toc29681"/>
      <w:bookmarkStart w:id="167" w:name="_Toc20562"/>
      <w:bookmarkStart w:id="168" w:name="_Toc174732757"/>
      <w:bookmarkStart w:id="169" w:name="_Toc27533"/>
      <w:r>
        <w:t>引用标准名录</w:t>
      </w:r>
      <w:bookmarkEnd w:id="162"/>
      <w:bookmarkEnd w:id="163"/>
      <w:bookmarkEnd w:id="164"/>
      <w:bookmarkEnd w:id="165"/>
      <w:bookmarkEnd w:id="166"/>
      <w:bookmarkEnd w:id="167"/>
      <w:bookmarkEnd w:id="168"/>
      <w:bookmarkEnd w:id="169"/>
    </w:p>
    <w:p w14:paraId="0AB56343">
      <w:pPr>
        <w:numPr>
          <w:ilvl w:val="0"/>
          <w:numId w:val="1"/>
        </w:numPr>
      </w:pPr>
      <w:r>
        <w:rPr>
          <w:rFonts w:hint="eastAsia"/>
          <w:lang w:eastAsia="zh-CN"/>
        </w:rPr>
        <w:t>《</w:t>
      </w:r>
      <w:r>
        <w:rPr>
          <w:rFonts w:hint="eastAsia"/>
        </w:rPr>
        <w:t>建筑地基基础设计规范》</w:t>
      </w:r>
      <w:r>
        <w:rPr>
          <w:rFonts w:hint="eastAsia"/>
          <w:lang w:eastAsia="zh-CN"/>
        </w:rPr>
        <w:t>GB 50007</w:t>
      </w:r>
    </w:p>
    <w:p w14:paraId="1F827A58">
      <w:pPr>
        <w:numPr>
          <w:ilvl w:val="0"/>
          <w:numId w:val="1"/>
        </w:numPr>
      </w:pPr>
      <w:r>
        <w:rPr>
          <w:rFonts w:hint="eastAsia"/>
          <w:lang w:eastAsia="zh-CN"/>
        </w:rPr>
        <w:t>《</w:t>
      </w:r>
      <w:r>
        <w:rPr>
          <w:rFonts w:hint="eastAsia"/>
        </w:rPr>
        <w:t>建筑结构荷载规范</w:t>
      </w:r>
      <w:r>
        <w:t>》</w:t>
      </w:r>
      <w:r>
        <w:rPr>
          <w:rFonts w:hint="eastAsia"/>
        </w:rPr>
        <w:t>GB 50009</w:t>
      </w:r>
    </w:p>
    <w:p w14:paraId="70718F37">
      <w:pPr>
        <w:numPr>
          <w:ilvl w:val="0"/>
          <w:numId w:val="1"/>
        </w:numPr>
      </w:pPr>
      <w:r>
        <w:rPr>
          <w:rFonts w:hint="eastAsia"/>
        </w:rPr>
        <w:t>《混凝土结构设计标准》GB/T 50010</w:t>
      </w:r>
    </w:p>
    <w:p w14:paraId="28E48908">
      <w:pPr>
        <w:numPr>
          <w:ilvl w:val="0"/>
          <w:numId w:val="1"/>
        </w:numPr>
      </w:pPr>
      <w:r>
        <w:rPr>
          <w:rFonts w:hint="eastAsia"/>
        </w:rPr>
        <w:t>《建筑抗震设计标准》GB/T 50011</w:t>
      </w:r>
    </w:p>
    <w:p w14:paraId="1C684E1E">
      <w:pPr>
        <w:numPr>
          <w:ilvl w:val="0"/>
          <w:numId w:val="1"/>
        </w:numPr>
      </w:pPr>
      <w:r>
        <w:rPr>
          <w:rFonts w:hint="eastAsia"/>
        </w:rPr>
        <w:t>《建筑设计防火规范》GB 50016</w:t>
      </w:r>
    </w:p>
    <w:p w14:paraId="1F12B761">
      <w:pPr>
        <w:numPr>
          <w:ilvl w:val="0"/>
          <w:numId w:val="1"/>
        </w:numPr>
      </w:pPr>
      <w:r>
        <w:rPr>
          <w:rFonts w:hint="eastAsia"/>
        </w:rPr>
        <w:t>《钢结构设计标准》</w:t>
      </w:r>
      <w:r>
        <w:rPr>
          <w:rFonts w:hint="eastAsia"/>
          <w:lang w:eastAsia="zh-CN"/>
        </w:rPr>
        <w:t>GB 50017</w:t>
      </w:r>
    </w:p>
    <w:p w14:paraId="44DCC778">
      <w:pPr>
        <w:numPr>
          <w:ilvl w:val="0"/>
          <w:numId w:val="1"/>
        </w:numPr>
      </w:pPr>
      <w:r>
        <w:rPr>
          <w:rFonts w:hint="eastAsia"/>
          <w:color w:val="auto"/>
          <w:kern w:val="0"/>
        </w:rPr>
        <w:t>《岩土工程勘察规范》GB</w:t>
      </w:r>
      <w:r>
        <w:rPr>
          <w:color w:val="auto"/>
          <w:kern w:val="0"/>
        </w:rPr>
        <w:t xml:space="preserve"> </w:t>
      </w:r>
      <w:r>
        <w:rPr>
          <w:rFonts w:hint="eastAsia"/>
          <w:color w:val="auto"/>
          <w:kern w:val="0"/>
        </w:rPr>
        <w:t>50021</w:t>
      </w:r>
    </w:p>
    <w:p w14:paraId="1020EC17">
      <w:pPr>
        <w:numPr>
          <w:ilvl w:val="0"/>
          <w:numId w:val="1"/>
        </w:numPr>
      </w:pPr>
      <w:r>
        <w:rPr>
          <w:rFonts w:hint="eastAsia"/>
        </w:rPr>
        <w:t>《住宅设计规范》</w:t>
      </w:r>
      <w:r>
        <w:rPr>
          <w:rFonts w:hint="eastAsia"/>
          <w:lang w:eastAsia="zh-CN"/>
        </w:rPr>
        <w:t>GB 50096</w:t>
      </w:r>
    </w:p>
    <w:p w14:paraId="7247B4D4">
      <w:pPr>
        <w:numPr>
          <w:ilvl w:val="0"/>
          <w:numId w:val="1"/>
        </w:numPr>
      </w:pPr>
      <w:r>
        <w:rPr>
          <w:rFonts w:hint="eastAsia"/>
        </w:rPr>
        <w:t>《民用建筑隔声设计规范》GB 50118</w:t>
      </w:r>
    </w:p>
    <w:p w14:paraId="39BEDD2F">
      <w:pPr>
        <w:numPr>
          <w:ilvl w:val="0"/>
          <w:numId w:val="1"/>
        </w:numPr>
      </w:pPr>
      <w:r>
        <w:rPr>
          <w:rFonts w:hint="eastAsia"/>
        </w:rPr>
        <w:t>《民用建筑热工设计规范》GB 50176</w:t>
      </w:r>
    </w:p>
    <w:p w14:paraId="6F1FAB8D">
      <w:pPr>
        <w:numPr>
          <w:ilvl w:val="0"/>
          <w:numId w:val="1"/>
        </w:numPr>
      </w:pPr>
      <w:r>
        <w:rPr>
          <w:rFonts w:hint="eastAsia"/>
        </w:rPr>
        <w:t>《建筑地基基础工程施工质量验收规范》GB 50202</w:t>
      </w:r>
    </w:p>
    <w:p w14:paraId="52ADD67A">
      <w:pPr>
        <w:numPr>
          <w:ilvl w:val="0"/>
          <w:numId w:val="1"/>
        </w:numPr>
      </w:pPr>
      <w:r>
        <w:rPr>
          <w:rFonts w:hint="eastAsia"/>
        </w:rPr>
        <w:t>《混凝土结构工程施工质量验收规范》GB 50204</w:t>
      </w:r>
    </w:p>
    <w:p w14:paraId="48A3B44A">
      <w:pPr>
        <w:numPr>
          <w:ilvl w:val="0"/>
          <w:numId w:val="1"/>
        </w:numPr>
      </w:pPr>
      <w:r>
        <w:rPr>
          <w:rFonts w:hint="eastAsia"/>
        </w:rPr>
        <w:t>《钢结构工程施工质量验收标准》GB 50205</w:t>
      </w:r>
    </w:p>
    <w:p w14:paraId="196D45A6">
      <w:pPr>
        <w:numPr>
          <w:ilvl w:val="0"/>
          <w:numId w:val="1"/>
        </w:numPr>
      </w:pPr>
      <w:r>
        <w:rPr>
          <w:rFonts w:hint="eastAsia"/>
        </w:rPr>
        <w:t>《建筑工程施工质量验收统一标准》GB 50300</w:t>
      </w:r>
    </w:p>
    <w:p w14:paraId="1CBBA50D">
      <w:pPr>
        <w:numPr>
          <w:ilvl w:val="0"/>
          <w:numId w:val="1"/>
        </w:numPr>
      </w:pPr>
      <w:r>
        <w:rPr>
          <w:rFonts w:hint="eastAsia"/>
        </w:rPr>
        <w:t>《住宅建筑规范》GB 50368</w:t>
      </w:r>
    </w:p>
    <w:p w14:paraId="54FA46E4">
      <w:pPr>
        <w:numPr>
          <w:ilvl w:val="0"/>
          <w:numId w:val="1"/>
        </w:numPr>
      </w:pPr>
      <w:r>
        <w:rPr>
          <w:rFonts w:hint="eastAsia"/>
        </w:rPr>
        <w:t>《建筑节能工程施工质量验收标准》GB 50411</w:t>
      </w:r>
    </w:p>
    <w:p w14:paraId="3E8BCD52">
      <w:pPr>
        <w:numPr>
          <w:ilvl w:val="0"/>
          <w:numId w:val="1"/>
        </w:numPr>
      </w:pPr>
      <w:r>
        <w:rPr>
          <w:rFonts w:hint="eastAsia"/>
        </w:rPr>
        <w:t>《钢结构焊接规范》GB 50661</w:t>
      </w:r>
    </w:p>
    <w:p w14:paraId="6C3E80AC">
      <w:pPr>
        <w:numPr>
          <w:ilvl w:val="0"/>
          <w:numId w:val="1"/>
        </w:numPr>
      </w:pPr>
      <w:r>
        <w:rPr>
          <w:rFonts w:hint="eastAsia"/>
        </w:rPr>
        <w:t>《</w:t>
      </w:r>
      <w:r>
        <w:fldChar w:fldCharType="begin"/>
      </w:r>
      <w:r>
        <w:instrText xml:space="preserve"> HYPERLINK "http://www.jianbiaoku.com/webarbs/book/10316.shtml" \t "http://www.jianbiaoku.com/webarbs/book/10316/_self" </w:instrText>
      </w:r>
      <w:r>
        <w:fldChar w:fldCharType="separate"/>
      </w:r>
      <w:r>
        <w:rPr>
          <w:rFonts w:hint="eastAsia"/>
        </w:rPr>
        <w:t>混凝土结构工程施工规范</w:t>
      </w:r>
      <w:r>
        <w:rPr>
          <w:rFonts w:hint="eastAsia"/>
        </w:rPr>
        <w:fldChar w:fldCharType="end"/>
      </w:r>
      <w:r>
        <w:rPr>
          <w:rFonts w:hint="eastAsia"/>
        </w:rPr>
        <w:t>》GB 50666</w:t>
      </w:r>
    </w:p>
    <w:p w14:paraId="760E76A3">
      <w:pPr>
        <w:numPr>
          <w:ilvl w:val="0"/>
          <w:numId w:val="1"/>
        </w:numPr>
      </w:pPr>
      <w:r>
        <w:rPr>
          <w:rFonts w:hint="eastAsia"/>
        </w:rPr>
        <w:t>《</w:t>
      </w:r>
      <w:r>
        <w:fldChar w:fldCharType="begin"/>
      </w:r>
      <w:r>
        <w:instrText xml:space="preserve"> HYPERLINK "http://www.jianbiaoku.com/webarbs/book/10318.shtml" \t "http://www.jianbiaoku.com/webarbs/book/10318/_self" </w:instrText>
      </w:r>
      <w:r>
        <w:fldChar w:fldCharType="separate"/>
      </w:r>
      <w:r>
        <w:rPr>
          <w:rFonts w:hint="eastAsia"/>
        </w:rPr>
        <w:t>钢结构工程施工规范</w:t>
      </w:r>
      <w:r>
        <w:rPr>
          <w:rFonts w:hint="eastAsia"/>
        </w:rPr>
        <w:fldChar w:fldCharType="end"/>
      </w:r>
      <w:r>
        <w:rPr>
          <w:rFonts w:hint="eastAsia"/>
        </w:rPr>
        <w:t>》GB 50755</w:t>
      </w:r>
    </w:p>
    <w:p w14:paraId="15359300">
      <w:pPr>
        <w:numPr>
          <w:ilvl w:val="0"/>
          <w:numId w:val="1"/>
        </w:numPr>
      </w:pPr>
      <w:r>
        <w:rPr>
          <w:color w:val="auto"/>
        </w:rPr>
        <w:t>《装配式混凝土建筑技术标准》GB/T 51231</w:t>
      </w:r>
    </w:p>
    <w:p w14:paraId="37FD5C42">
      <w:pPr>
        <w:numPr>
          <w:ilvl w:val="0"/>
          <w:numId w:val="1"/>
        </w:numPr>
      </w:pPr>
      <w:r>
        <w:rPr>
          <w:color w:val="auto"/>
        </w:rPr>
        <w:t>《民用建筑电气设计标准》GB 51348</w:t>
      </w:r>
    </w:p>
    <w:p w14:paraId="61AC6323">
      <w:pPr>
        <w:numPr>
          <w:ilvl w:val="0"/>
          <w:numId w:val="1"/>
        </w:numPr>
      </w:pPr>
      <w:r>
        <w:rPr>
          <w:rFonts w:hint="eastAsia"/>
          <w:color w:val="auto"/>
          <w:kern w:val="0"/>
        </w:rPr>
        <w:t>《</w:t>
      </w:r>
      <w:r>
        <w:rPr>
          <w:bCs/>
          <w:color w:val="auto"/>
          <w:kern w:val="0"/>
        </w:rPr>
        <w:t>建筑与市政地基基础通用规范</w:t>
      </w:r>
      <w:r>
        <w:rPr>
          <w:rFonts w:hint="eastAsia"/>
          <w:color w:val="auto"/>
          <w:kern w:val="0"/>
        </w:rPr>
        <w:t>》</w:t>
      </w:r>
      <w:r>
        <w:rPr>
          <w:bCs/>
          <w:color w:val="auto"/>
          <w:kern w:val="0"/>
        </w:rPr>
        <w:t>GB 55003</w:t>
      </w:r>
    </w:p>
    <w:p w14:paraId="6D761DBC">
      <w:pPr>
        <w:numPr>
          <w:ilvl w:val="0"/>
          <w:numId w:val="1"/>
        </w:numPr>
      </w:pPr>
      <w:r>
        <w:rPr>
          <w:rFonts w:hint="eastAsia"/>
          <w:color w:val="auto"/>
          <w:lang w:val="en-US" w:eastAsia="zh-CN"/>
        </w:rPr>
        <w:t>《建筑节能与可再生能源利用通用规范》GB 55015</w:t>
      </w:r>
    </w:p>
    <w:p w14:paraId="52F34613">
      <w:pPr>
        <w:numPr>
          <w:ilvl w:val="0"/>
          <w:numId w:val="1"/>
        </w:numPr>
      </w:pPr>
      <w:r>
        <w:rPr>
          <w:rFonts w:hint="eastAsia"/>
          <w:color w:val="auto"/>
          <w:lang w:val="en-US" w:eastAsia="zh-CN"/>
        </w:rPr>
        <w:t>《建筑环境通用规范》GB 55016</w:t>
      </w:r>
    </w:p>
    <w:p w14:paraId="6EE8AA67">
      <w:pPr>
        <w:numPr>
          <w:ilvl w:val="0"/>
          <w:numId w:val="1"/>
        </w:numPr>
      </w:pPr>
      <w:r>
        <w:rPr>
          <w:rFonts w:hint="eastAsia"/>
          <w:color w:val="auto"/>
          <w:lang w:eastAsia="zh-CN"/>
        </w:rPr>
        <w:t>《</w:t>
      </w:r>
      <w:r>
        <w:rPr>
          <w:rFonts w:hint="eastAsia"/>
          <w:color w:val="auto"/>
          <w:lang w:val="en-US" w:eastAsia="zh-CN"/>
        </w:rPr>
        <w:t>建筑防火通用规范》GB 55037</w:t>
      </w:r>
    </w:p>
    <w:p w14:paraId="5C2D4F71">
      <w:pPr>
        <w:numPr>
          <w:ilvl w:val="0"/>
          <w:numId w:val="1"/>
        </w:numPr>
      </w:pPr>
      <w:r>
        <w:rPr>
          <w:rFonts w:hint="eastAsia"/>
          <w:color w:val="auto"/>
          <w:lang w:val="en-US" w:eastAsia="zh-CN"/>
        </w:rPr>
        <w:t>《农村防火规范》GB 55039</w:t>
      </w:r>
    </w:p>
    <w:p w14:paraId="3A21F830">
      <w:pPr>
        <w:numPr>
          <w:ilvl w:val="0"/>
          <w:numId w:val="1"/>
        </w:numPr>
      </w:pPr>
      <w:r>
        <w:rPr>
          <w:rFonts w:hint="eastAsia"/>
        </w:rPr>
        <w:t>《连续热镀锌和锌合金镀层钢板及钢带》</w:t>
      </w:r>
      <w:r>
        <w:t>GB</w:t>
      </w:r>
      <w:r>
        <w:rPr>
          <w:rFonts w:hint="eastAsia"/>
        </w:rPr>
        <w:t>/</w:t>
      </w:r>
      <w:r>
        <w:t>T</w:t>
      </w:r>
      <w:r>
        <w:rPr>
          <w:rFonts w:hint="eastAsia"/>
        </w:rPr>
        <w:t xml:space="preserve"> </w:t>
      </w:r>
      <w:r>
        <w:t>2518</w:t>
      </w:r>
    </w:p>
    <w:p w14:paraId="7FC48610">
      <w:pPr>
        <w:numPr>
          <w:ilvl w:val="0"/>
          <w:numId w:val="1"/>
        </w:numPr>
      </w:pPr>
      <w:r>
        <w:rPr>
          <w:rFonts w:hint="eastAsia"/>
        </w:rPr>
        <w:t>《六角头自攻螺钉》GB/T 5285</w:t>
      </w:r>
    </w:p>
    <w:p w14:paraId="320CC73B">
      <w:pPr>
        <w:numPr>
          <w:ilvl w:val="0"/>
          <w:numId w:val="1"/>
        </w:numPr>
      </w:pPr>
      <w:r>
        <w:rPr>
          <w:rFonts w:hint="eastAsia"/>
        </w:rPr>
        <w:t>《六角法兰面自钻自攻螺钉》GB/T 15856.4</w:t>
      </w:r>
    </w:p>
    <w:p w14:paraId="4CB3C8E5">
      <w:pPr>
        <w:numPr>
          <w:ilvl w:val="0"/>
          <w:numId w:val="1"/>
        </w:numPr>
      </w:pPr>
      <w:r>
        <w:rPr>
          <w:rFonts w:hint="eastAsia"/>
        </w:rPr>
        <w:t>《射钉》GB/T 18981</w:t>
      </w:r>
    </w:p>
    <w:p w14:paraId="6288D418">
      <w:pPr>
        <w:numPr>
          <w:ilvl w:val="0"/>
          <w:numId w:val="1"/>
        </w:numPr>
      </w:pPr>
      <w:r>
        <w:rPr>
          <w:rFonts w:hint="eastAsia"/>
        </w:rPr>
        <w:t>《钢筋焊接及验收规程》JGJ 18</w:t>
      </w:r>
    </w:p>
    <w:p w14:paraId="1D32A163">
      <w:pPr>
        <w:numPr>
          <w:ilvl w:val="0"/>
          <w:numId w:val="1"/>
        </w:numPr>
      </w:pPr>
      <w:r>
        <w:rPr>
          <w:rFonts w:hint="eastAsia"/>
        </w:rPr>
        <w:t>《冷拔低碳钢丝应用技术规程》JGJ 19</w:t>
      </w:r>
    </w:p>
    <w:p w14:paraId="79968FEF">
      <w:pPr>
        <w:numPr>
          <w:ilvl w:val="0"/>
          <w:numId w:val="1"/>
        </w:numPr>
      </w:pPr>
      <w:r>
        <w:rPr>
          <w:rFonts w:hint="eastAsia"/>
        </w:rPr>
        <w:t>《建筑机械使用安全技术规程》JGJ 33</w:t>
      </w:r>
    </w:p>
    <w:p w14:paraId="251D6A73">
      <w:pPr>
        <w:numPr>
          <w:ilvl w:val="0"/>
          <w:numId w:val="1"/>
        </w:numPr>
      </w:pPr>
      <w:r>
        <w:rPr>
          <w:rFonts w:hint="eastAsia"/>
        </w:rPr>
        <w:t>《施工现场临时用电安全技术规范》JGJ 46</w:t>
      </w:r>
    </w:p>
    <w:p w14:paraId="71578D10">
      <w:pPr>
        <w:numPr>
          <w:ilvl w:val="0"/>
          <w:numId w:val="1"/>
        </w:numPr>
      </w:pPr>
      <w:r>
        <w:rPr>
          <w:rFonts w:hint="eastAsia"/>
          <w:color w:val="auto"/>
          <w:kern w:val="0"/>
        </w:rPr>
        <w:t>《建筑地基处理技术规范》JGJ</w:t>
      </w:r>
      <w:r>
        <w:rPr>
          <w:color w:val="auto"/>
          <w:kern w:val="0"/>
        </w:rPr>
        <w:t xml:space="preserve"> </w:t>
      </w:r>
      <w:r>
        <w:rPr>
          <w:rFonts w:hint="eastAsia"/>
          <w:color w:val="auto"/>
          <w:kern w:val="0"/>
        </w:rPr>
        <w:t>79</w:t>
      </w:r>
    </w:p>
    <w:p w14:paraId="0C2E968F">
      <w:pPr>
        <w:numPr>
          <w:ilvl w:val="0"/>
          <w:numId w:val="1"/>
        </w:numPr>
      </w:pPr>
      <w:r>
        <w:rPr>
          <w:rFonts w:hint="eastAsia"/>
        </w:rPr>
        <w:t>《混凝土结构后锚固技术规程》JGJ 145</w:t>
      </w:r>
    </w:p>
    <w:p w14:paraId="086BEC57">
      <w:pPr>
        <w:numPr>
          <w:ilvl w:val="0"/>
          <w:numId w:val="1"/>
        </w:numPr>
      </w:pPr>
      <w:r>
        <w:rPr>
          <w:rFonts w:hint="eastAsia"/>
        </w:rPr>
        <w:t>《住宅室内防水工程技术规范》JGJ 298</w:t>
      </w:r>
    </w:p>
    <w:p w14:paraId="79879C79">
      <w:pPr>
        <w:numPr>
          <w:ilvl w:val="0"/>
          <w:numId w:val="1"/>
        </w:numPr>
      </w:pPr>
      <w:r>
        <w:rPr>
          <w:rFonts w:hint="eastAsia"/>
        </w:rPr>
        <w:t>《建筑外墙防水工程技术规程》JGJ/T 235</w:t>
      </w:r>
    </w:p>
    <w:p w14:paraId="7204AC7B">
      <w:pPr>
        <w:numPr>
          <w:ilvl w:val="0"/>
          <w:numId w:val="1"/>
        </w:numPr>
      </w:pPr>
      <w:r>
        <w:rPr>
          <w:rFonts w:hint="eastAsia"/>
        </w:rPr>
        <w:t>《装配式住宅建筑设计标准》JGJ/T 398</w:t>
      </w:r>
    </w:p>
    <w:p w14:paraId="636A83B8">
      <w:pPr>
        <w:numPr>
          <w:ilvl w:val="0"/>
          <w:numId w:val="1"/>
        </w:numPr>
      </w:pPr>
      <w:r>
        <w:rPr>
          <w:rFonts w:hint="eastAsia"/>
        </w:rPr>
        <w:t>《泡沫混凝土》JG/T 266</w:t>
      </w:r>
    </w:p>
    <w:p w14:paraId="6C20B9A8">
      <w:pPr>
        <w:numPr>
          <w:ilvl w:val="0"/>
          <w:numId w:val="1"/>
        </w:numPr>
      </w:pPr>
      <w:r>
        <w:rPr>
          <w:rFonts w:hint="eastAsia"/>
        </w:rPr>
        <w:t>《硬泡聚氨酯板薄抹灰外墙外保温系统材料》JG/T 420</w:t>
      </w:r>
    </w:p>
    <w:p w14:paraId="5382EEF1">
      <w:pPr>
        <w:numPr>
          <w:ilvl w:val="0"/>
          <w:numId w:val="1"/>
        </w:numPr>
      </w:pPr>
      <w:r>
        <w:rPr>
          <w:rFonts w:hint="eastAsia"/>
        </w:rPr>
        <w:t>《连续热镀铝锌镁合金镀层钢板及钢带》YB/T 4634</w:t>
      </w:r>
    </w:p>
    <w:p w14:paraId="78C248FC">
      <w:pPr>
        <w:numPr>
          <w:ilvl w:val="0"/>
          <w:numId w:val="1"/>
        </w:numPr>
      </w:pPr>
      <w:r>
        <w:rPr>
          <w:rFonts w:hint="eastAsia"/>
          <w:color w:val="auto"/>
        </w:rPr>
        <w:t>《四川省住宅设计标准》DBJ51/168</w:t>
      </w:r>
    </w:p>
    <w:p w14:paraId="4BAD9C77">
      <w:pPr>
        <w:numPr>
          <w:ilvl w:val="0"/>
          <w:numId w:val="1"/>
        </w:numPr>
      </w:pPr>
      <w:r>
        <w:rPr>
          <w:rFonts w:hint="eastAsia"/>
          <w:lang w:eastAsia="zh-CN"/>
        </w:rPr>
        <w:t>《</w:t>
      </w:r>
      <w:r>
        <w:rPr>
          <w:rFonts w:hint="eastAsia"/>
        </w:rPr>
        <w:t>四川省居住建筑节能设计标准》DBJ 51/</w:t>
      </w:r>
      <w:r>
        <w:rPr>
          <w:rFonts w:hint="eastAsia"/>
          <w:lang w:eastAsia="zh-CN"/>
        </w:rPr>
        <w:t>T 5027</w:t>
      </w:r>
    </w:p>
    <w:p w14:paraId="4C9A70F2">
      <w:pPr>
        <w:numPr>
          <w:ilvl w:val="0"/>
          <w:numId w:val="1"/>
        </w:numPr>
      </w:pPr>
      <w:r>
        <w:rPr>
          <w:rFonts w:hint="eastAsia"/>
        </w:rPr>
        <w:t>《四川省注仓式自保温装配集成墙体应用技术标准》DBJ51/T 272</w:t>
      </w:r>
    </w:p>
    <w:p w14:paraId="6C7611F3">
      <w:pPr>
        <w:numPr>
          <w:ilvl w:val="0"/>
          <w:numId w:val="1"/>
        </w:numPr>
      </w:pPr>
      <w:r>
        <w:rPr>
          <w:rFonts w:hint="eastAsia"/>
        </w:rPr>
        <w:t>《注仓式装配复合轻质墙体应用技术标准》T/ASC 53、T/CCES 54</w:t>
      </w:r>
    </w:p>
    <w:p w14:paraId="7B0CABC6">
      <w:pPr>
        <w:snapToGrid w:val="0"/>
      </w:pPr>
    </w:p>
    <w:p w14:paraId="6B67379A">
      <w:pPr>
        <w:snapToGrid w:val="0"/>
        <w:rPr>
          <w:rFonts w:eastAsia="黑体"/>
          <w:sz w:val="36"/>
          <w:szCs w:val="36"/>
        </w:rPr>
      </w:pPr>
      <w:r>
        <w:rPr>
          <w:rFonts w:eastAsia="黑体"/>
          <w:sz w:val="36"/>
          <w:szCs w:val="36"/>
        </w:rPr>
        <w:br w:type="page"/>
      </w:r>
    </w:p>
    <w:p w14:paraId="3ECDB27C">
      <w:pPr>
        <w:autoSpaceDE w:val="0"/>
        <w:autoSpaceDN w:val="0"/>
        <w:snapToGrid w:val="0"/>
        <w:jc w:val="center"/>
        <w:textAlignment w:val="bottom"/>
        <w:rPr>
          <w:rFonts w:eastAsia="黑体"/>
          <w:sz w:val="36"/>
          <w:szCs w:val="36"/>
        </w:rPr>
      </w:pPr>
    </w:p>
    <w:p w14:paraId="3DB4E824">
      <w:pPr>
        <w:autoSpaceDE w:val="0"/>
        <w:autoSpaceDN w:val="0"/>
        <w:snapToGrid w:val="0"/>
        <w:jc w:val="center"/>
        <w:textAlignment w:val="bottom"/>
        <w:rPr>
          <w:rFonts w:eastAsia="黑体"/>
          <w:sz w:val="36"/>
          <w:szCs w:val="36"/>
        </w:rPr>
      </w:pPr>
    </w:p>
    <w:p w14:paraId="37F9C1AE">
      <w:pPr>
        <w:autoSpaceDE w:val="0"/>
        <w:autoSpaceDN w:val="0"/>
        <w:snapToGrid w:val="0"/>
        <w:jc w:val="center"/>
        <w:textAlignment w:val="bottom"/>
        <w:rPr>
          <w:rFonts w:eastAsia="黑体"/>
          <w:sz w:val="36"/>
          <w:szCs w:val="36"/>
        </w:rPr>
      </w:pPr>
      <w:r>
        <w:rPr>
          <w:rFonts w:hint="eastAsia" w:eastAsia="黑体"/>
          <w:sz w:val="36"/>
          <w:szCs w:val="36"/>
        </w:rPr>
        <w:t xml:space="preserve"> </w:t>
      </w:r>
    </w:p>
    <w:p w14:paraId="3EB37428"/>
    <w:p w14:paraId="134A3A03">
      <w:pPr>
        <w:autoSpaceDE w:val="0"/>
        <w:autoSpaceDN w:val="0"/>
        <w:snapToGrid w:val="0"/>
        <w:jc w:val="center"/>
        <w:textAlignment w:val="bottom"/>
      </w:pPr>
    </w:p>
    <w:p w14:paraId="1B1231F9">
      <w:pPr>
        <w:autoSpaceDE w:val="0"/>
        <w:autoSpaceDN w:val="0"/>
        <w:snapToGrid w:val="0"/>
        <w:jc w:val="center"/>
        <w:textAlignment w:val="bottom"/>
        <w:rPr>
          <w:rFonts w:eastAsia="黑体"/>
          <w:color w:val="000000"/>
          <w:sz w:val="44"/>
          <w:szCs w:val="48"/>
        </w:rPr>
      </w:pPr>
      <w:r>
        <w:rPr>
          <w:rFonts w:hint="eastAsia" w:eastAsia="黑体"/>
          <w:color w:val="000000"/>
          <w:spacing w:val="-20"/>
          <w:sz w:val="48"/>
          <w:szCs w:val="48"/>
        </w:rPr>
        <w:t>四川省注仓式自保温装配式农房应用技术标准</w:t>
      </w:r>
    </w:p>
    <w:p w14:paraId="645B245A">
      <w:pPr>
        <w:autoSpaceDE w:val="0"/>
        <w:autoSpaceDN w:val="0"/>
        <w:snapToGrid w:val="0"/>
        <w:jc w:val="center"/>
        <w:textAlignment w:val="bottom"/>
      </w:pPr>
    </w:p>
    <w:p w14:paraId="7AB94A89">
      <w:pPr>
        <w:autoSpaceDE w:val="0"/>
        <w:autoSpaceDN w:val="0"/>
        <w:snapToGrid w:val="0"/>
        <w:jc w:val="center"/>
        <w:textAlignment w:val="bottom"/>
      </w:pPr>
    </w:p>
    <w:p w14:paraId="524F5DE6">
      <w:pPr>
        <w:widowControl/>
        <w:snapToGrid w:val="0"/>
        <w:ind w:firstLine="2520" w:firstLineChars="900"/>
        <w:rPr>
          <w:color w:val="000000"/>
          <w:sz w:val="28"/>
          <w:szCs w:val="28"/>
        </w:rPr>
      </w:pPr>
    </w:p>
    <w:p w14:paraId="5B615E19"/>
    <w:p w14:paraId="1C8DFFD7">
      <w:pPr>
        <w:widowControl/>
        <w:snapToGrid w:val="0"/>
        <w:ind w:firstLine="2520" w:firstLineChars="900"/>
        <w:rPr>
          <w:color w:val="000000"/>
          <w:sz w:val="28"/>
          <w:szCs w:val="28"/>
        </w:rPr>
      </w:pPr>
    </w:p>
    <w:p w14:paraId="7996E9E2">
      <w:pPr>
        <w:pStyle w:val="2"/>
      </w:pPr>
      <w:bookmarkStart w:id="170" w:name="_Toc174732758"/>
      <w:bookmarkStart w:id="171" w:name="_Toc14822"/>
      <w:bookmarkStart w:id="172" w:name="_Toc11965"/>
      <w:bookmarkStart w:id="173" w:name="_Toc24722"/>
      <w:bookmarkStart w:id="174" w:name="_Toc26322"/>
      <w:r>
        <w:t>条文说明</w:t>
      </w:r>
      <w:bookmarkEnd w:id="170"/>
      <w:bookmarkEnd w:id="171"/>
      <w:bookmarkEnd w:id="172"/>
      <w:bookmarkEnd w:id="173"/>
      <w:bookmarkEnd w:id="174"/>
    </w:p>
    <w:p w14:paraId="0B12A4E0">
      <w:pPr>
        <w:snapToGrid w:val="0"/>
        <w:jc w:val="center"/>
        <w:rPr>
          <w:rStyle w:val="20"/>
        </w:rPr>
        <w:sectPr>
          <w:footerReference r:id="rId10" w:type="default"/>
          <w:pgSz w:w="11906" w:h="16838"/>
          <w:pgMar w:top="1440" w:right="1800" w:bottom="1440" w:left="1800" w:header="851" w:footer="992" w:gutter="0"/>
          <w:cols w:space="720" w:num="1"/>
          <w:docGrid w:type="lines" w:linePitch="312" w:charSpace="0"/>
        </w:sectPr>
      </w:pPr>
    </w:p>
    <w:p w14:paraId="74D23B6F">
      <w:pPr>
        <w:snapToGrid w:val="0"/>
        <w:spacing w:line="276" w:lineRule="auto"/>
        <w:ind w:firstLine="562" w:firstLineChars="200"/>
        <w:jc w:val="center"/>
      </w:pPr>
      <w:bookmarkStart w:id="175" w:name="_Toc4775"/>
      <w:bookmarkStart w:id="176" w:name="_Toc30213"/>
      <w:bookmarkStart w:id="177" w:name="_Toc13687"/>
      <w:bookmarkStart w:id="178" w:name="_Toc23803"/>
      <w:bookmarkStart w:id="179" w:name="_Toc23799"/>
      <w:bookmarkStart w:id="180" w:name="_Toc32709"/>
      <w:bookmarkStart w:id="181" w:name="_Toc24609"/>
      <w:bookmarkStart w:id="182" w:name="_Toc2851"/>
      <w:bookmarkStart w:id="183" w:name="_Toc10645"/>
      <w:bookmarkStart w:id="184" w:name="_Toc29164"/>
      <w:bookmarkStart w:id="185" w:name="_Toc24546"/>
      <w:bookmarkStart w:id="186" w:name="_Toc2155"/>
      <w:bookmarkStart w:id="187" w:name="_Toc174732759"/>
      <w:bookmarkStart w:id="188" w:name="_Toc7554"/>
      <w:r>
        <w:rPr>
          <w:rStyle w:val="20"/>
        </w:rPr>
        <w:t>目  录</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fldChar w:fldCharType="begin"/>
      </w:r>
      <w:r>
        <w:instrText xml:space="preserve">TOC \o "1-2" \h \u </w:instrText>
      </w:r>
      <w:r>
        <w:fldChar w:fldCharType="separate"/>
      </w:r>
    </w:p>
    <w:p w14:paraId="4A3DCA57">
      <w:pPr>
        <w:pStyle w:val="11"/>
        <w:tabs>
          <w:tab w:val="right" w:leader="dot" w:pos="8306"/>
        </w:tabs>
      </w:pPr>
      <w:r>
        <w:fldChar w:fldCharType="begin"/>
      </w:r>
      <w:r>
        <w:instrText xml:space="preserve"> HYPERLINK \l _Toc28548 </w:instrText>
      </w:r>
      <w:r>
        <w:fldChar w:fldCharType="separate"/>
      </w:r>
      <w:r>
        <w:t>1  总  则</w:t>
      </w:r>
      <w:r>
        <w:tab/>
      </w:r>
      <w:r>
        <w:fldChar w:fldCharType="begin"/>
      </w:r>
      <w:r>
        <w:instrText xml:space="preserve"> PAGEREF _Toc28548 \h </w:instrText>
      </w:r>
      <w:r>
        <w:fldChar w:fldCharType="separate"/>
      </w:r>
      <w:r>
        <w:t>21</w:t>
      </w:r>
      <w:r>
        <w:fldChar w:fldCharType="end"/>
      </w:r>
      <w:r>
        <w:fldChar w:fldCharType="end"/>
      </w:r>
    </w:p>
    <w:p w14:paraId="11FD21BF">
      <w:pPr>
        <w:pStyle w:val="11"/>
        <w:tabs>
          <w:tab w:val="right" w:leader="dot" w:pos="8306"/>
        </w:tabs>
      </w:pPr>
      <w:r>
        <w:fldChar w:fldCharType="begin"/>
      </w:r>
      <w:r>
        <w:instrText xml:space="preserve"> HYPERLINK \l _Toc13783 </w:instrText>
      </w:r>
      <w:r>
        <w:fldChar w:fldCharType="separate"/>
      </w:r>
      <w:r>
        <w:t>3  材料</w:t>
      </w:r>
      <w:r>
        <w:rPr>
          <w:rFonts w:hint="eastAsia"/>
        </w:rPr>
        <w:t>及部品</w:t>
      </w:r>
      <w:r>
        <w:tab/>
      </w:r>
      <w:r>
        <w:fldChar w:fldCharType="begin"/>
      </w:r>
      <w:r>
        <w:instrText xml:space="preserve"> PAGEREF _Toc13783 \h </w:instrText>
      </w:r>
      <w:r>
        <w:fldChar w:fldCharType="separate"/>
      </w:r>
      <w:r>
        <w:t>22</w:t>
      </w:r>
      <w:r>
        <w:fldChar w:fldCharType="end"/>
      </w:r>
      <w:r>
        <w:fldChar w:fldCharType="end"/>
      </w:r>
    </w:p>
    <w:p w14:paraId="725C6426">
      <w:pPr>
        <w:pStyle w:val="12"/>
        <w:tabs>
          <w:tab w:val="right" w:leader="dot" w:pos="8306"/>
        </w:tabs>
      </w:pPr>
      <w:r>
        <w:fldChar w:fldCharType="begin"/>
      </w:r>
      <w:r>
        <w:instrText xml:space="preserve"> HYPERLINK \l _Toc4650 </w:instrText>
      </w:r>
      <w:r>
        <w:fldChar w:fldCharType="separate"/>
      </w:r>
      <w:r>
        <w:t>3.</w:t>
      </w:r>
      <w:r>
        <w:rPr>
          <w:rFonts w:hint="eastAsia"/>
        </w:rPr>
        <w:t>2</w:t>
      </w:r>
      <w:r>
        <w:t>  注仓料</w:t>
      </w:r>
      <w:r>
        <w:rPr>
          <w:rFonts w:hint="eastAsia"/>
        </w:rPr>
        <w:t>与保温材料</w:t>
      </w:r>
      <w:r>
        <w:tab/>
      </w:r>
      <w:r>
        <w:fldChar w:fldCharType="begin"/>
      </w:r>
      <w:r>
        <w:instrText xml:space="preserve"> PAGEREF _Toc4650 \h </w:instrText>
      </w:r>
      <w:r>
        <w:fldChar w:fldCharType="separate"/>
      </w:r>
      <w:r>
        <w:t>22</w:t>
      </w:r>
      <w:r>
        <w:fldChar w:fldCharType="end"/>
      </w:r>
      <w:r>
        <w:fldChar w:fldCharType="end"/>
      </w:r>
    </w:p>
    <w:p w14:paraId="18BFD6C5">
      <w:pPr>
        <w:pStyle w:val="12"/>
        <w:tabs>
          <w:tab w:val="right" w:leader="dot" w:pos="8306"/>
        </w:tabs>
      </w:pPr>
      <w:r>
        <w:fldChar w:fldCharType="begin"/>
      </w:r>
      <w:r>
        <w:instrText xml:space="preserve"> HYPERLINK \l _Toc4669 </w:instrText>
      </w:r>
      <w:r>
        <w:fldChar w:fldCharType="separate"/>
      </w:r>
      <w:r>
        <w:t>3.</w:t>
      </w:r>
      <w:r>
        <w:rPr>
          <w:rFonts w:hint="eastAsia"/>
        </w:rPr>
        <w:t>3</w:t>
      </w:r>
      <w:r>
        <w:t>  连接材料</w:t>
      </w:r>
      <w:r>
        <w:tab/>
      </w:r>
      <w:r>
        <w:fldChar w:fldCharType="begin"/>
      </w:r>
      <w:r>
        <w:instrText xml:space="preserve"> PAGEREF _Toc4669 \h </w:instrText>
      </w:r>
      <w:r>
        <w:fldChar w:fldCharType="separate"/>
      </w:r>
      <w:r>
        <w:t>22</w:t>
      </w:r>
      <w:r>
        <w:fldChar w:fldCharType="end"/>
      </w:r>
      <w:r>
        <w:fldChar w:fldCharType="end"/>
      </w:r>
    </w:p>
    <w:p w14:paraId="41D5D730">
      <w:pPr>
        <w:pStyle w:val="11"/>
        <w:tabs>
          <w:tab w:val="right" w:leader="dot" w:pos="8306"/>
        </w:tabs>
      </w:pPr>
      <w:r>
        <w:fldChar w:fldCharType="begin"/>
      </w:r>
      <w:r>
        <w:instrText xml:space="preserve"> HYPERLINK \l _Toc10767 </w:instrText>
      </w:r>
      <w:r>
        <w:fldChar w:fldCharType="separate"/>
      </w:r>
      <w:r>
        <w:t xml:space="preserve">4  </w:t>
      </w:r>
      <w:r>
        <w:rPr>
          <w:rFonts w:hint="eastAsia"/>
        </w:rPr>
        <w:t>建筑</w:t>
      </w:r>
      <w:r>
        <w:t>设计</w:t>
      </w:r>
      <w:r>
        <w:tab/>
      </w:r>
      <w:r>
        <w:fldChar w:fldCharType="begin"/>
      </w:r>
      <w:r>
        <w:instrText xml:space="preserve"> PAGEREF _Toc10767 \h </w:instrText>
      </w:r>
      <w:r>
        <w:fldChar w:fldCharType="separate"/>
      </w:r>
      <w:r>
        <w:t>23</w:t>
      </w:r>
      <w:r>
        <w:fldChar w:fldCharType="end"/>
      </w:r>
      <w:r>
        <w:fldChar w:fldCharType="end"/>
      </w:r>
    </w:p>
    <w:p w14:paraId="188EE420">
      <w:pPr>
        <w:pStyle w:val="12"/>
        <w:tabs>
          <w:tab w:val="right" w:leader="dot" w:pos="8306"/>
        </w:tabs>
      </w:pPr>
      <w:r>
        <w:fldChar w:fldCharType="begin"/>
      </w:r>
      <w:r>
        <w:instrText xml:space="preserve"> HYPERLINK \l _Toc21735 </w:instrText>
      </w:r>
      <w:r>
        <w:fldChar w:fldCharType="separate"/>
      </w:r>
      <w:r>
        <w:t>4.1  一般规定</w:t>
      </w:r>
      <w:r>
        <w:tab/>
      </w:r>
      <w:r>
        <w:fldChar w:fldCharType="begin"/>
      </w:r>
      <w:r>
        <w:instrText xml:space="preserve"> PAGEREF _Toc21735 \h </w:instrText>
      </w:r>
      <w:r>
        <w:fldChar w:fldCharType="separate"/>
      </w:r>
      <w:r>
        <w:t>23</w:t>
      </w:r>
      <w:r>
        <w:fldChar w:fldCharType="end"/>
      </w:r>
      <w:r>
        <w:fldChar w:fldCharType="end"/>
      </w:r>
    </w:p>
    <w:p w14:paraId="0DD8FA28">
      <w:pPr>
        <w:pStyle w:val="12"/>
        <w:tabs>
          <w:tab w:val="right" w:leader="dot" w:pos="8306"/>
        </w:tabs>
      </w:pPr>
      <w:r>
        <w:fldChar w:fldCharType="begin"/>
      </w:r>
      <w:r>
        <w:instrText xml:space="preserve"> HYPERLINK \l _Toc3625 </w:instrText>
      </w:r>
      <w:r>
        <w:fldChar w:fldCharType="separate"/>
      </w:r>
      <w:r>
        <w:t>4.</w:t>
      </w:r>
      <w:r>
        <w:rPr>
          <w:rFonts w:hint="eastAsia"/>
        </w:rPr>
        <w:t>3</w:t>
      </w:r>
      <w:r>
        <w:t>  </w:t>
      </w:r>
      <w:r>
        <w:rPr>
          <w:rFonts w:hint="eastAsia"/>
        </w:rPr>
        <w:t>平面、立面与空间</w:t>
      </w:r>
      <w:r>
        <w:tab/>
      </w:r>
      <w:r>
        <w:fldChar w:fldCharType="begin"/>
      </w:r>
      <w:r>
        <w:instrText xml:space="preserve"> PAGEREF _Toc3625 \h </w:instrText>
      </w:r>
      <w:r>
        <w:fldChar w:fldCharType="separate"/>
      </w:r>
      <w:r>
        <w:t>23</w:t>
      </w:r>
      <w:r>
        <w:fldChar w:fldCharType="end"/>
      </w:r>
      <w:r>
        <w:fldChar w:fldCharType="end"/>
      </w:r>
    </w:p>
    <w:p w14:paraId="4B718B63">
      <w:pPr>
        <w:pStyle w:val="11"/>
        <w:tabs>
          <w:tab w:val="right" w:leader="dot" w:pos="8306"/>
        </w:tabs>
      </w:pPr>
      <w:r>
        <w:fldChar w:fldCharType="begin"/>
      </w:r>
      <w:r>
        <w:instrText xml:space="preserve"> HYPERLINK \l _Toc17138 </w:instrText>
      </w:r>
      <w:r>
        <w:fldChar w:fldCharType="separate"/>
      </w:r>
      <w:r>
        <w:t xml:space="preserve">5  </w:t>
      </w:r>
      <w:r>
        <w:rPr>
          <w:rFonts w:hint="eastAsia"/>
        </w:rPr>
        <w:t>结构设计</w:t>
      </w:r>
      <w:r>
        <w:tab/>
      </w:r>
      <w:r>
        <w:fldChar w:fldCharType="begin"/>
      </w:r>
      <w:r>
        <w:instrText xml:space="preserve"> PAGEREF _Toc17138 \h </w:instrText>
      </w:r>
      <w:r>
        <w:fldChar w:fldCharType="separate"/>
      </w:r>
      <w:r>
        <w:t>24</w:t>
      </w:r>
      <w:r>
        <w:fldChar w:fldCharType="end"/>
      </w:r>
      <w:r>
        <w:fldChar w:fldCharType="end"/>
      </w:r>
    </w:p>
    <w:p w14:paraId="101F6628">
      <w:pPr>
        <w:pStyle w:val="12"/>
        <w:tabs>
          <w:tab w:val="right" w:leader="dot" w:pos="8306"/>
        </w:tabs>
      </w:pPr>
      <w:r>
        <w:fldChar w:fldCharType="begin"/>
      </w:r>
      <w:r>
        <w:instrText xml:space="preserve"> HYPERLINK \l _Toc6425 </w:instrText>
      </w:r>
      <w:r>
        <w:fldChar w:fldCharType="separate"/>
      </w:r>
      <w:r>
        <w:t>5.1  一般规定</w:t>
      </w:r>
      <w:r>
        <w:tab/>
      </w:r>
      <w:r>
        <w:fldChar w:fldCharType="begin"/>
      </w:r>
      <w:r>
        <w:instrText xml:space="preserve"> PAGEREF _Toc6425 \h </w:instrText>
      </w:r>
      <w:r>
        <w:fldChar w:fldCharType="separate"/>
      </w:r>
      <w:r>
        <w:t>24</w:t>
      </w:r>
      <w:r>
        <w:fldChar w:fldCharType="end"/>
      </w:r>
      <w:r>
        <w:fldChar w:fldCharType="end"/>
      </w:r>
    </w:p>
    <w:p w14:paraId="1D3C65EB">
      <w:pPr>
        <w:pStyle w:val="12"/>
        <w:tabs>
          <w:tab w:val="right" w:leader="dot" w:pos="8306"/>
        </w:tabs>
      </w:pPr>
      <w:r>
        <w:fldChar w:fldCharType="begin"/>
      </w:r>
      <w:r>
        <w:instrText xml:space="preserve"> HYPERLINK \l _Toc13970 </w:instrText>
      </w:r>
      <w:r>
        <w:fldChar w:fldCharType="separate"/>
      </w:r>
      <w:r>
        <w:t>5.2  </w:t>
      </w:r>
      <w:r>
        <w:rPr>
          <w:rFonts w:hint="eastAsia"/>
        </w:rPr>
        <w:t>结构体系</w:t>
      </w:r>
      <w:r>
        <w:tab/>
      </w:r>
      <w:r>
        <w:fldChar w:fldCharType="begin"/>
      </w:r>
      <w:r>
        <w:instrText xml:space="preserve"> PAGEREF _Toc13970 \h </w:instrText>
      </w:r>
      <w:r>
        <w:fldChar w:fldCharType="separate"/>
      </w:r>
      <w:r>
        <w:t>24</w:t>
      </w:r>
      <w:r>
        <w:fldChar w:fldCharType="end"/>
      </w:r>
      <w:r>
        <w:fldChar w:fldCharType="end"/>
      </w:r>
    </w:p>
    <w:p w14:paraId="791B2B15">
      <w:pPr>
        <w:pStyle w:val="12"/>
        <w:tabs>
          <w:tab w:val="right" w:leader="dot" w:pos="8306"/>
        </w:tabs>
      </w:pPr>
      <w:r>
        <w:fldChar w:fldCharType="begin"/>
      </w:r>
      <w:r>
        <w:instrText xml:space="preserve"> HYPERLINK \l _Toc17931 </w:instrText>
      </w:r>
      <w:r>
        <w:fldChar w:fldCharType="separate"/>
      </w:r>
      <w:r>
        <w:t>5.3  </w:t>
      </w:r>
      <w:r>
        <w:rPr>
          <w:rFonts w:hint="eastAsia"/>
        </w:rPr>
        <w:t>基础设计</w:t>
      </w:r>
      <w:r>
        <w:tab/>
      </w:r>
      <w:r>
        <w:fldChar w:fldCharType="begin"/>
      </w:r>
      <w:r>
        <w:instrText xml:space="preserve"> PAGEREF _Toc17931 \h </w:instrText>
      </w:r>
      <w:r>
        <w:fldChar w:fldCharType="separate"/>
      </w:r>
      <w:r>
        <w:t>24</w:t>
      </w:r>
      <w:r>
        <w:fldChar w:fldCharType="end"/>
      </w:r>
      <w:r>
        <w:fldChar w:fldCharType="end"/>
      </w:r>
    </w:p>
    <w:p w14:paraId="2D699920">
      <w:pPr>
        <w:pStyle w:val="11"/>
        <w:tabs>
          <w:tab w:val="right" w:leader="dot" w:pos="8306"/>
        </w:tabs>
      </w:pPr>
      <w:r>
        <w:fldChar w:fldCharType="begin"/>
      </w:r>
      <w:r>
        <w:instrText xml:space="preserve"> HYPERLINK \l _Toc18655 </w:instrText>
      </w:r>
      <w:r>
        <w:fldChar w:fldCharType="separate"/>
      </w:r>
      <w:r>
        <w:rPr>
          <w:rFonts w:hint="eastAsia"/>
          <w:lang w:val="en-US" w:eastAsia="zh-CN"/>
        </w:rPr>
        <w:t>6</w:t>
      </w:r>
      <w:r>
        <w:t xml:space="preserve">  </w:t>
      </w:r>
      <w:r>
        <w:rPr>
          <w:rFonts w:hint="eastAsia"/>
          <w:lang w:val="en-US" w:eastAsia="zh-CN"/>
        </w:rPr>
        <w:t>机电</w:t>
      </w:r>
      <w:r>
        <w:rPr>
          <w:rFonts w:hint="eastAsia"/>
        </w:rPr>
        <w:t>设计</w:t>
      </w:r>
      <w:r>
        <w:tab/>
      </w:r>
      <w:r>
        <w:fldChar w:fldCharType="begin"/>
      </w:r>
      <w:r>
        <w:instrText xml:space="preserve"> PAGEREF _Toc18655 \h </w:instrText>
      </w:r>
      <w:r>
        <w:fldChar w:fldCharType="separate"/>
      </w:r>
      <w:r>
        <w:t>26</w:t>
      </w:r>
      <w:r>
        <w:fldChar w:fldCharType="end"/>
      </w:r>
      <w:r>
        <w:fldChar w:fldCharType="end"/>
      </w:r>
    </w:p>
    <w:p w14:paraId="22806851">
      <w:pPr>
        <w:pStyle w:val="12"/>
        <w:tabs>
          <w:tab w:val="right" w:leader="dot" w:pos="8306"/>
        </w:tabs>
      </w:pPr>
      <w:r>
        <w:fldChar w:fldCharType="begin"/>
      </w:r>
      <w:r>
        <w:instrText xml:space="preserve"> HYPERLINK \l _Toc12758 </w:instrText>
      </w:r>
      <w:r>
        <w:fldChar w:fldCharType="separate"/>
      </w:r>
      <w:r>
        <w:t>6.1  一般规定</w:t>
      </w:r>
      <w:r>
        <w:tab/>
      </w:r>
      <w:r>
        <w:fldChar w:fldCharType="begin"/>
      </w:r>
      <w:r>
        <w:instrText xml:space="preserve"> PAGEREF _Toc12758 \h </w:instrText>
      </w:r>
      <w:r>
        <w:fldChar w:fldCharType="separate"/>
      </w:r>
      <w:r>
        <w:t>26</w:t>
      </w:r>
      <w:r>
        <w:fldChar w:fldCharType="end"/>
      </w:r>
      <w:r>
        <w:fldChar w:fldCharType="end"/>
      </w:r>
    </w:p>
    <w:p w14:paraId="234A0D1A">
      <w:pPr>
        <w:pStyle w:val="12"/>
        <w:tabs>
          <w:tab w:val="right" w:leader="dot" w:pos="8306"/>
        </w:tabs>
      </w:pPr>
      <w:r>
        <w:fldChar w:fldCharType="begin"/>
      </w:r>
      <w:r>
        <w:instrText xml:space="preserve"> HYPERLINK \l _Toc21262 </w:instrText>
      </w:r>
      <w:r>
        <w:fldChar w:fldCharType="separate"/>
      </w:r>
      <w:r>
        <w:t>6.2  </w:t>
      </w:r>
      <w:r>
        <w:rPr>
          <w:rFonts w:hint="eastAsia"/>
        </w:rPr>
        <w:t>给排水</w:t>
      </w:r>
      <w:r>
        <w:t>设计</w:t>
      </w:r>
      <w:r>
        <w:tab/>
      </w:r>
      <w:r>
        <w:fldChar w:fldCharType="begin"/>
      </w:r>
      <w:r>
        <w:instrText xml:space="preserve"> PAGEREF _Toc21262 \h </w:instrText>
      </w:r>
      <w:r>
        <w:fldChar w:fldCharType="separate"/>
      </w:r>
      <w:r>
        <w:t>26</w:t>
      </w:r>
      <w:r>
        <w:fldChar w:fldCharType="end"/>
      </w:r>
      <w:r>
        <w:fldChar w:fldCharType="end"/>
      </w:r>
    </w:p>
    <w:p w14:paraId="0DE42ADB">
      <w:pPr>
        <w:pStyle w:val="12"/>
        <w:tabs>
          <w:tab w:val="right" w:leader="dot" w:pos="8306"/>
        </w:tabs>
      </w:pPr>
      <w:r>
        <w:fldChar w:fldCharType="begin"/>
      </w:r>
      <w:r>
        <w:instrText xml:space="preserve"> HYPERLINK \l _Toc2498 </w:instrText>
      </w:r>
      <w:r>
        <w:fldChar w:fldCharType="separate"/>
      </w:r>
      <w:r>
        <w:t>6.3  </w:t>
      </w:r>
      <w:r>
        <w:rPr>
          <w:rFonts w:hint="eastAsia"/>
        </w:rPr>
        <w:t>电气及智能化设计</w:t>
      </w:r>
      <w:r>
        <w:tab/>
      </w:r>
      <w:r>
        <w:fldChar w:fldCharType="begin"/>
      </w:r>
      <w:r>
        <w:instrText xml:space="preserve"> PAGEREF _Toc2498 \h </w:instrText>
      </w:r>
      <w:r>
        <w:fldChar w:fldCharType="separate"/>
      </w:r>
      <w:r>
        <w:t>27</w:t>
      </w:r>
      <w:r>
        <w:fldChar w:fldCharType="end"/>
      </w:r>
      <w:r>
        <w:fldChar w:fldCharType="end"/>
      </w:r>
    </w:p>
    <w:p w14:paraId="7DC3BDA0">
      <w:pPr>
        <w:pStyle w:val="12"/>
        <w:tabs>
          <w:tab w:val="right" w:leader="dot" w:pos="8306"/>
        </w:tabs>
      </w:pPr>
      <w:r>
        <w:fldChar w:fldCharType="begin"/>
      </w:r>
      <w:r>
        <w:instrText xml:space="preserve"> HYPERLINK \l _Toc19073 </w:instrText>
      </w:r>
      <w:r>
        <w:fldChar w:fldCharType="separate"/>
      </w:r>
      <w:r>
        <w:t>6.4  </w:t>
      </w:r>
      <w:r>
        <w:rPr>
          <w:rFonts w:hint="eastAsia"/>
        </w:rPr>
        <w:t>暖通</w:t>
      </w:r>
      <w:r>
        <w:t>设计</w:t>
      </w:r>
      <w:r>
        <w:tab/>
      </w:r>
      <w:r>
        <w:fldChar w:fldCharType="begin"/>
      </w:r>
      <w:r>
        <w:instrText xml:space="preserve"> PAGEREF _Toc19073 \h </w:instrText>
      </w:r>
      <w:r>
        <w:fldChar w:fldCharType="separate"/>
      </w:r>
      <w:r>
        <w:t>27</w:t>
      </w:r>
      <w:r>
        <w:fldChar w:fldCharType="end"/>
      </w:r>
      <w:r>
        <w:fldChar w:fldCharType="end"/>
      </w:r>
    </w:p>
    <w:p w14:paraId="78BF4A14">
      <w:pPr>
        <w:pStyle w:val="11"/>
        <w:tabs>
          <w:tab w:val="right" w:leader="dot" w:pos="8306"/>
        </w:tabs>
      </w:pPr>
      <w:r>
        <w:fldChar w:fldCharType="begin"/>
      </w:r>
      <w:r>
        <w:instrText xml:space="preserve"> HYPERLINK \l _Toc32225 </w:instrText>
      </w:r>
      <w:r>
        <w:fldChar w:fldCharType="separate"/>
      </w:r>
      <w:r>
        <w:rPr>
          <w:rFonts w:hint="eastAsia"/>
          <w:lang w:val="en-US" w:eastAsia="zh-CN"/>
        </w:rPr>
        <w:t>7</w:t>
      </w:r>
      <w:r>
        <w:t xml:space="preserve">  </w:t>
      </w:r>
      <w:r>
        <w:rPr>
          <w:rFonts w:hint="eastAsia"/>
        </w:rPr>
        <w:t>施  工</w:t>
      </w:r>
      <w:r>
        <w:tab/>
      </w:r>
      <w:r>
        <w:fldChar w:fldCharType="begin"/>
      </w:r>
      <w:r>
        <w:instrText xml:space="preserve"> PAGEREF _Toc32225 \h </w:instrText>
      </w:r>
      <w:r>
        <w:fldChar w:fldCharType="separate"/>
      </w:r>
      <w:r>
        <w:t>29</w:t>
      </w:r>
      <w:r>
        <w:fldChar w:fldCharType="end"/>
      </w:r>
      <w:r>
        <w:fldChar w:fldCharType="end"/>
      </w:r>
    </w:p>
    <w:p w14:paraId="00E19429">
      <w:pPr>
        <w:pStyle w:val="12"/>
        <w:tabs>
          <w:tab w:val="right" w:leader="dot" w:pos="8306"/>
        </w:tabs>
      </w:pPr>
      <w:r>
        <w:fldChar w:fldCharType="begin"/>
      </w:r>
      <w:r>
        <w:instrText xml:space="preserve"> HYPERLINK \l _Toc22102 </w:instrText>
      </w:r>
      <w:r>
        <w:fldChar w:fldCharType="separate"/>
      </w:r>
      <w:r>
        <w:rPr>
          <w:rFonts w:hint="eastAsia"/>
          <w:lang w:val="en-US" w:eastAsia="zh-CN"/>
        </w:rPr>
        <w:t>7</w:t>
      </w:r>
      <w:r>
        <w:t>.1  一般规定</w:t>
      </w:r>
      <w:r>
        <w:tab/>
      </w:r>
      <w:r>
        <w:fldChar w:fldCharType="begin"/>
      </w:r>
      <w:r>
        <w:instrText xml:space="preserve"> PAGEREF _Toc22102 \h </w:instrText>
      </w:r>
      <w:r>
        <w:fldChar w:fldCharType="separate"/>
      </w:r>
      <w:r>
        <w:t>29</w:t>
      </w:r>
      <w:r>
        <w:fldChar w:fldCharType="end"/>
      </w:r>
      <w:r>
        <w:fldChar w:fldCharType="end"/>
      </w:r>
    </w:p>
    <w:p w14:paraId="15EF71EF">
      <w:pPr>
        <w:pStyle w:val="12"/>
        <w:tabs>
          <w:tab w:val="right" w:leader="dot" w:pos="8306"/>
        </w:tabs>
      </w:pPr>
      <w:r>
        <w:fldChar w:fldCharType="begin"/>
      </w:r>
      <w:r>
        <w:instrText xml:space="preserve"> HYPERLINK \l _Toc15080 </w:instrText>
      </w:r>
      <w:r>
        <w:fldChar w:fldCharType="separate"/>
      </w:r>
      <w:r>
        <w:rPr>
          <w:rFonts w:hint="eastAsia"/>
          <w:lang w:val="en-US" w:eastAsia="zh-CN"/>
        </w:rPr>
        <w:t>7</w:t>
      </w:r>
      <w:r>
        <w:t>.</w:t>
      </w:r>
      <w:r>
        <w:rPr>
          <w:rFonts w:hint="eastAsia"/>
        </w:rPr>
        <w:t>4</w:t>
      </w:r>
      <w:r>
        <w:t>  </w:t>
      </w:r>
      <w:r>
        <w:rPr>
          <w:rFonts w:hint="eastAsia"/>
        </w:rPr>
        <w:t>墙体施工</w:t>
      </w:r>
      <w:r>
        <w:tab/>
      </w:r>
      <w:r>
        <w:fldChar w:fldCharType="begin"/>
      </w:r>
      <w:r>
        <w:instrText xml:space="preserve"> PAGEREF _Toc15080 \h </w:instrText>
      </w:r>
      <w:r>
        <w:fldChar w:fldCharType="separate"/>
      </w:r>
      <w:r>
        <w:t>30</w:t>
      </w:r>
      <w:r>
        <w:fldChar w:fldCharType="end"/>
      </w:r>
      <w:r>
        <w:fldChar w:fldCharType="end"/>
      </w:r>
    </w:p>
    <w:p w14:paraId="5F13F4D7">
      <w:pPr>
        <w:pStyle w:val="11"/>
        <w:tabs>
          <w:tab w:val="right" w:leader="dot" w:pos="8306"/>
        </w:tabs>
      </w:pPr>
      <w:r>
        <w:fldChar w:fldCharType="begin"/>
      </w:r>
      <w:r>
        <w:instrText xml:space="preserve"> HYPERLINK \l _Toc12885 </w:instrText>
      </w:r>
      <w:r>
        <w:fldChar w:fldCharType="separate"/>
      </w:r>
      <w:r>
        <w:rPr>
          <w:rFonts w:hint="eastAsia"/>
          <w:lang w:val="en-US" w:eastAsia="zh-CN"/>
        </w:rPr>
        <w:t>8</w:t>
      </w:r>
      <w:r>
        <w:t xml:space="preserve">  </w:t>
      </w:r>
      <w:r>
        <w:rPr>
          <w:rFonts w:hint="eastAsia"/>
        </w:rPr>
        <w:t>验  收</w:t>
      </w:r>
      <w:r>
        <w:tab/>
      </w:r>
      <w:r>
        <w:fldChar w:fldCharType="begin"/>
      </w:r>
      <w:r>
        <w:instrText xml:space="preserve"> PAGEREF _Toc12885 \h </w:instrText>
      </w:r>
      <w:r>
        <w:fldChar w:fldCharType="separate"/>
      </w:r>
      <w:r>
        <w:t>31</w:t>
      </w:r>
      <w:r>
        <w:fldChar w:fldCharType="end"/>
      </w:r>
      <w:r>
        <w:fldChar w:fldCharType="end"/>
      </w:r>
    </w:p>
    <w:p w14:paraId="7CEB6425">
      <w:pPr>
        <w:pStyle w:val="7"/>
        <w:rPr>
          <w:rStyle w:val="20"/>
        </w:rPr>
        <w:sectPr>
          <w:pgSz w:w="11906" w:h="16838"/>
          <w:pgMar w:top="1440" w:right="1800" w:bottom="1440" w:left="1800" w:header="851" w:footer="992" w:gutter="0"/>
          <w:cols w:space="720" w:num="1"/>
          <w:docGrid w:type="lines" w:linePitch="312" w:charSpace="0"/>
        </w:sectPr>
      </w:pPr>
      <w:r>
        <w:fldChar w:fldCharType="end"/>
      </w:r>
    </w:p>
    <w:p w14:paraId="6906B7A5">
      <w:pPr>
        <w:pStyle w:val="2"/>
      </w:pPr>
      <w:bookmarkStart w:id="189" w:name="_Toc19856"/>
      <w:bookmarkStart w:id="190" w:name="_Toc14554"/>
      <w:bookmarkStart w:id="191" w:name="_Toc31083"/>
      <w:bookmarkStart w:id="192" w:name="_Toc29117"/>
      <w:bookmarkStart w:id="193" w:name="_Toc12515"/>
      <w:bookmarkStart w:id="194" w:name="_Toc12948"/>
      <w:bookmarkStart w:id="195" w:name="_Toc21634"/>
      <w:bookmarkStart w:id="196" w:name="_Toc28548"/>
      <w:bookmarkStart w:id="197" w:name="_Toc25401"/>
      <w:bookmarkStart w:id="198" w:name="_Toc17202"/>
      <w:bookmarkStart w:id="199" w:name="_Toc8948"/>
      <w:bookmarkStart w:id="200" w:name="_Toc174732760"/>
      <w:bookmarkStart w:id="201" w:name="_Toc19402"/>
      <w:bookmarkStart w:id="202" w:name="_Toc19815"/>
      <w:r>
        <w:t>1  总  则</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5AE9C2A0">
      <w:r>
        <w:rPr>
          <w:b/>
          <w:bCs/>
        </w:rPr>
        <w:t>1.0.1</w:t>
      </w:r>
      <w:r>
        <w:t> </w:t>
      </w:r>
      <w:r>
        <w:rPr>
          <w:rFonts w:hint="eastAsia"/>
        </w:rPr>
        <w:t xml:space="preserve"> 注仓式自保温装配式农房是以钢筋混凝土框架结构和钢结构为主要体系，</w:t>
      </w:r>
      <w:r>
        <w:rPr>
          <w:rFonts w:hint="eastAsia"/>
          <w:lang w:eastAsia="zh-CN"/>
        </w:rPr>
        <w:t>以注</w:t>
      </w:r>
      <w:r>
        <w:rPr>
          <w:rFonts w:hint="eastAsia"/>
        </w:rPr>
        <w:t>仓式自保温装配集成墙体为非承重墙的低层农房。</w:t>
      </w:r>
    </w:p>
    <w:p w14:paraId="6D9029A9">
      <w:pPr>
        <w:ind w:firstLine="480" w:firstLineChars="200"/>
      </w:pPr>
      <w:r>
        <w:rPr>
          <w:rFonts w:hint="eastAsia"/>
        </w:rPr>
        <w:t>注仓式自保温装配集成墙体</w:t>
      </w:r>
      <w:r>
        <w:t>是一种充分发挥预制混凝土构件装配和</w:t>
      </w:r>
      <w:r>
        <w:rPr>
          <w:rFonts w:hint="eastAsia"/>
        </w:rPr>
        <w:t>注仓料</w:t>
      </w:r>
      <w:r>
        <w:t>现浇工艺优点的新型复合墙体，墙体通过连接件与主体结构连接，</w:t>
      </w:r>
      <w:r>
        <w:rPr>
          <w:rFonts w:hint="eastAsia"/>
          <w:lang w:eastAsia="zh-CN"/>
        </w:rPr>
        <w:t>保温材料</w:t>
      </w:r>
      <w:r>
        <w:t>、水暖电</w:t>
      </w:r>
      <w:r>
        <w:rPr>
          <w:rFonts w:hint="eastAsia"/>
        </w:rPr>
        <w:t>管线</w:t>
      </w:r>
      <w:r>
        <w:t>内置同步安装。</w:t>
      </w:r>
      <w:r>
        <w:rPr>
          <w:rFonts w:hint="eastAsia"/>
        </w:rPr>
        <w:t>试验</w:t>
      </w:r>
      <w:r>
        <w:t>表明，墙体抗弯性能、抗冲击性能</w:t>
      </w:r>
      <w:r>
        <w:rPr>
          <w:rFonts w:hint="eastAsia"/>
        </w:rPr>
        <w:t>和</w:t>
      </w:r>
      <w:r>
        <w:t>吊挂</w:t>
      </w:r>
      <w:r>
        <w:rPr>
          <w:rFonts w:hint="eastAsia"/>
        </w:rPr>
        <w:t>力等基本力学</w:t>
      </w:r>
      <w:r>
        <w:t>性能良好，各项指标均远高于《建筑隔墙用轻质条板通用技术要求》JG/T 169的</w:t>
      </w:r>
      <w:r>
        <w:rPr>
          <w:rFonts w:hint="eastAsia"/>
        </w:rPr>
        <w:t>规定；墙体的抗震和耐火性能要求也符合国家现行相关规范的规定。</w:t>
      </w:r>
    </w:p>
    <w:p w14:paraId="15F81E4B">
      <w:r>
        <w:rPr>
          <w:b/>
          <w:bCs/>
        </w:rPr>
        <w:t>1.0.</w:t>
      </w:r>
      <w:r>
        <w:rPr>
          <w:rFonts w:hint="eastAsia"/>
          <w:b/>
          <w:bCs/>
          <w:lang w:val="en-US" w:eastAsia="zh-CN"/>
        </w:rPr>
        <w:t>2</w:t>
      </w:r>
      <w:r>
        <w:t> </w:t>
      </w:r>
      <w:r>
        <w:rPr>
          <w:rFonts w:hint="eastAsia"/>
        </w:rPr>
        <w:t xml:space="preserve"> 根据墙体用于框架结构的拟静力试验，墙体在加载初期能与框架实现协同作用，随着位移角逐渐增大，墙体与框架梁柱间逐渐出现裂缝并有一定发展，但直至达1/50层间位移角，连接部位无明显破坏</w:t>
      </w:r>
      <w:r>
        <w:rPr>
          <w:rFonts w:hint="eastAsia"/>
          <w:lang w:eastAsia="zh-CN"/>
        </w:rPr>
        <w:t>；</w:t>
      </w:r>
      <w:r>
        <w:rPr>
          <w:rFonts w:hint="eastAsia"/>
        </w:rPr>
        <w:t>加载至1/25层间位移角，墙体也未发生严重破坏，连接未脱落。试验表明</w:t>
      </w:r>
      <w:r>
        <w:rPr>
          <w:rFonts w:hint="eastAsia"/>
          <w:lang w:eastAsia="zh-CN"/>
        </w:rPr>
        <w:t>，</w:t>
      </w:r>
      <w:r>
        <w:rPr>
          <w:rFonts w:hint="eastAsia"/>
        </w:rPr>
        <w:t>墙体和主体结构连接可靠，变形协调，抗震性能良好。</w:t>
      </w:r>
    </w:p>
    <w:p w14:paraId="52FC9E2A">
      <w:r>
        <w:rPr>
          <w:rStyle w:val="22"/>
        </w:rPr>
        <w:t>1.0.3</w:t>
      </w:r>
      <w:r>
        <w:t> 本条规定了本标准与其他现行标准规范的关系。凡国家现行标准中已有明确规定的，本标准不再重复。</w:t>
      </w:r>
    </w:p>
    <w:p w14:paraId="2A437E24">
      <w:pPr>
        <w:snapToGrid w:val="0"/>
        <w:ind w:firstLine="420" w:firstLineChars="200"/>
        <w:rPr>
          <w:rFonts w:eastAsia="楷体"/>
          <w:sz w:val="21"/>
          <w:szCs w:val="21"/>
        </w:rPr>
      </w:pPr>
    </w:p>
    <w:p w14:paraId="4D53BBC9">
      <w:pPr>
        <w:snapToGrid w:val="0"/>
        <w:ind w:firstLine="420" w:firstLineChars="200"/>
        <w:rPr>
          <w:sz w:val="21"/>
          <w:szCs w:val="21"/>
        </w:rPr>
      </w:pPr>
    </w:p>
    <w:p w14:paraId="14CBA2CE">
      <w:pPr>
        <w:snapToGrid w:val="0"/>
        <w:ind w:firstLine="420" w:firstLineChars="200"/>
        <w:rPr>
          <w:sz w:val="21"/>
          <w:szCs w:val="21"/>
        </w:rPr>
      </w:pPr>
    </w:p>
    <w:p w14:paraId="31B9BA66">
      <w:pPr>
        <w:rPr>
          <w:sz w:val="21"/>
          <w:szCs w:val="21"/>
        </w:rPr>
      </w:pPr>
      <w:r>
        <w:rPr>
          <w:sz w:val="21"/>
          <w:szCs w:val="21"/>
        </w:rPr>
        <w:br w:type="page"/>
      </w:r>
    </w:p>
    <w:p w14:paraId="055C53D0">
      <w:pPr>
        <w:pStyle w:val="2"/>
      </w:pPr>
      <w:bookmarkStart w:id="203" w:name="_Toc13783"/>
      <w:bookmarkStart w:id="204" w:name="_Toc14527"/>
      <w:bookmarkStart w:id="205" w:name="_Toc9649"/>
      <w:bookmarkStart w:id="206" w:name="_Toc10447"/>
      <w:bookmarkStart w:id="207" w:name="_Toc22726"/>
      <w:bookmarkStart w:id="208" w:name="_Toc32056"/>
      <w:bookmarkStart w:id="209" w:name="_Toc16383"/>
      <w:bookmarkStart w:id="210" w:name="_Toc32496"/>
      <w:bookmarkStart w:id="211" w:name="_Toc12240"/>
      <w:bookmarkStart w:id="212" w:name="_Toc12548"/>
      <w:bookmarkStart w:id="213" w:name="_Toc9779"/>
      <w:bookmarkStart w:id="214" w:name="_Toc174732761"/>
      <w:bookmarkStart w:id="215" w:name="_Toc1214"/>
      <w:bookmarkStart w:id="216" w:name="_Toc17750"/>
      <w:r>
        <w:t>3  材料</w:t>
      </w:r>
      <w:r>
        <w:rPr>
          <w:rFonts w:hint="eastAsia"/>
        </w:rPr>
        <w:t>及部品</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Start w:id="217" w:name="_Toc27023"/>
      <w:bookmarkStart w:id="218" w:name="_Toc174732763"/>
      <w:bookmarkStart w:id="219" w:name="_Toc2435"/>
      <w:bookmarkStart w:id="220" w:name="_Toc1107"/>
      <w:bookmarkStart w:id="221" w:name="_Toc1154"/>
      <w:bookmarkStart w:id="222" w:name="_Toc22451"/>
      <w:bookmarkStart w:id="223" w:name="_Toc7734"/>
    </w:p>
    <w:p w14:paraId="47B99BD9">
      <w:pPr>
        <w:pStyle w:val="3"/>
        <w:snapToGrid w:val="0"/>
      </w:pPr>
      <w:bookmarkStart w:id="224" w:name="_Toc32127"/>
      <w:bookmarkStart w:id="225" w:name="_Toc10531"/>
      <w:bookmarkStart w:id="226" w:name="_Toc4106"/>
      <w:bookmarkStart w:id="227" w:name="_Toc28532"/>
      <w:bookmarkStart w:id="228" w:name="_Toc4650"/>
      <w:bookmarkStart w:id="229" w:name="_Toc29730"/>
      <w:bookmarkStart w:id="230" w:name="_Toc18967"/>
      <w:r>
        <w:t>3.</w:t>
      </w:r>
      <w:r>
        <w:rPr>
          <w:rFonts w:hint="eastAsia"/>
        </w:rPr>
        <w:t>2</w:t>
      </w:r>
      <w:r>
        <w:t>  注仓料</w:t>
      </w:r>
      <w:bookmarkEnd w:id="217"/>
      <w:bookmarkEnd w:id="218"/>
      <w:bookmarkEnd w:id="219"/>
      <w:bookmarkEnd w:id="220"/>
      <w:bookmarkEnd w:id="221"/>
      <w:bookmarkEnd w:id="222"/>
      <w:bookmarkEnd w:id="223"/>
      <w:r>
        <w:rPr>
          <w:rFonts w:hint="eastAsia"/>
        </w:rPr>
        <w:t>与保温材料</w:t>
      </w:r>
      <w:bookmarkEnd w:id="224"/>
      <w:bookmarkEnd w:id="225"/>
      <w:bookmarkEnd w:id="226"/>
      <w:bookmarkEnd w:id="227"/>
      <w:bookmarkEnd w:id="228"/>
      <w:bookmarkEnd w:id="229"/>
      <w:bookmarkEnd w:id="230"/>
    </w:p>
    <w:p w14:paraId="4F850981">
      <w:pPr>
        <w:snapToGrid w:val="0"/>
        <w:jc w:val="both"/>
      </w:pPr>
      <w:r>
        <w:rPr>
          <w:rStyle w:val="22"/>
        </w:rPr>
        <w:t>3.</w:t>
      </w:r>
      <w:r>
        <w:rPr>
          <w:rStyle w:val="22"/>
          <w:rFonts w:hint="eastAsia"/>
        </w:rPr>
        <w:t>2</w:t>
      </w:r>
      <w:r>
        <w:rPr>
          <w:rStyle w:val="22"/>
        </w:rPr>
        <w:t>.</w:t>
      </w:r>
      <w:r>
        <w:rPr>
          <w:rStyle w:val="22"/>
          <w:rFonts w:hint="eastAsia"/>
        </w:rPr>
        <w:t>1</w:t>
      </w:r>
      <w:r>
        <w:t>  </w:t>
      </w:r>
      <w:r>
        <w:rPr>
          <w:rFonts w:hint="eastAsia"/>
        </w:rPr>
        <w:t>石膏基砂浆</w:t>
      </w:r>
      <w:r>
        <w:t>的性能指标</w:t>
      </w:r>
      <w:r>
        <w:rPr>
          <w:rFonts w:hint="eastAsia"/>
        </w:rPr>
        <w:t>可</w:t>
      </w:r>
      <w:r>
        <w:t>参照现行建材行业产品标准《石膏基自流平砂浆》JC/T 1023和中国工程建设标准化协会标准《石膏基自流平砂浆应用技术规程》T/CECS 847的有关规定</w:t>
      </w:r>
      <w:r>
        <w:rPr>
          <w:rFonts w:hint="eastAsia"/>
        </w:rPr>
        <w:t>；</w:t>
      </w:r>
      <w:r>
        <w:t>泡沫混凝土的性能指标</w:t>
      </w:r>
      <w:r>
        <w:rPr>
          <w:rFonts w:hint="eastAsia"/>
        </w:rPr>
        <w:t>可</w:t>
      </w:r>
      <w:r>
        <w:t>参照现行建工产品标准《泡沫混凝土》JG/T 266和现行行业标准《泡沫混凝土应用技术规程》JGJ/T 341的规定。聚苯颗粒混凝土的性能指标</w:t>
      </w:r>
      <w:r>
        <w:rPr>
          <w:rFonts w:hint="eastAsia"/>
        </w:rPr>
        <w:t>可</w:t>
      </w:r>
      <w:r>
        <w:t>参照现行建材行业产品标准《聚苯乙烯颗粒泡沫混凝土》JC/T 2458的有关规定。 </w:t>
      </w:r>
    </w:p>
    <w:p w14:paraId="55D59AD6">
      <w:r>
        <w:rPr>
          <w:rStyle w:val="22"/>
        </w:rPr>
        <w:t>3.</w:t>
      </w:r>
      <w:r>
        <w:rPr>
          <w:rStyle w:val="22"/>
          <w:rFonts w:hint="eastAsia"/>
        </w:rPr>
        <w:t>2</w:t>
      </w:r>
      <w:r>
        <w:rPr>
          <w:rStyle w:val="22"/>
        </w:rPr>
        <w:t>.2</w:t>
      </w:r>
      <w:r>
        <w:t>  模塑聚苯乙烯泡沫塑料板的性能指标</w:t>
      </w:r>
      <w:r>
        <w:rPr>
          <w:rFonts w:hint="eastAsia"/>
        </w:rPr>
        <w:t>可</w:t>
      </w:r>
      <w:r>
        <w:t>参照现行国家标准《</w:t>
      </w:r>
      <w:r>
        <w:rPr>
          <w:rFonts w:hint="eastAsia"/>
        </w:rPr>
        <w:t>绝热用模塑聚苯乙烯泡沫塑料（EPS）</w:t>
      </w:r>
      <w:r>
        <w:t xml:space="preserve">》GB/T </w:t>
      </w:r>
      <w:r>
        <w:rPr>
          <w:rFonts w:hint="eastAsia"/>
        </w:rPr>
        <w:t>10801.1和《</w:t>
      </w:r>
      <w:r>
        <w:t>模塑聚苯板薄抹灰外墙外保温系统材料</w:t>
      </w:r>
      <w:r>
        <w:rPr>
          <w:rFonts w:hint="eastAsia"/>
        </w:rPr>
        <w:t>》</w:t>
      </w:r>
      <w:r>
        <w:t>GB/T</w:t>
      </w:r>
      <w:r>
        <w:rPr>
          <w:rFonts w:hint="eastAsia"/>
        </w:rPr>
        <w:t xml:space="preserve"> </w:t>
      </w:r>
      <w:r>
        <w:t>29906的有关规定。</w:t>
      </w:r>
      <w:r>
        <w:rPr>
          <w:rFonts w:hint="eastAsia"/>
        </w:rPr>
        <w:t>挤塑聚苯乙烯泡沫板</w:t>
      </w:r>
      <w:r>
        <w:t>的性能指标</w:t>
      </w:r>
      <w:r>
        <w:rPr>
          <w:rFonts w:hint="eastAsia"/>
        </w:rPr>
        <w:t>可</w:t>
      </w:r>
      <w:r>
        <w:t>参照现行国家标准</w:t>
      </w:r>
      <w:r>
        <w:rPr>
          <w:rFonts w:hint="eastAsia"/>
        </w:rPr>
        <w:t>《绝热用挤塑聚苯乙烯泡沫塑料（XPS）</w:t>
      </w:r>
      <w:r>
        <w:t xml:space="preserve">》GB/T </w:t>
      </w:r>
      <w:r>
        <w:rPr>
          <w:rFonts w:hint="eastAsia"/>
        </w:rPr>
        <w:t>10801.2和</w:t>
      </w:r>
      <w:r>
        <w:t>《挤塑聚苯板（XPS）薄抹灰外墙外保温系统材料</w:t>
      </w:r>
      <w:r>
        <w:rPr>
          <w:rFonts w:hint="eastAsia"/>
        </w:rPr>
        <w:t>》</w:t>
      </w:r>
      <w:r>
        <w:t>GB/T</w:t>
      </w:r>
      <w:r>
        <w:rPr>
          <w:rFonts w:hint="eastAsia"/>
        </w:rPr>
        <w:t xml:space="preserve"> 30595</w:t>
      </w:r>
      <w:r>
        <w:t>的有关规定。硬泡聚氨酯板的性能指标</w:t>
      </w:r>
      <w:r>
        <w:rPr>
          <w:rFonts w:hint="eastAsia"/>
        </w:rPr>
        <w:t>可</w:t>
      </w:r>
      <w:r>
        <w:t>参照现行建工行业产品标准《硬泡聚氨酯板薄抹灰外墙外保温系统材料》JG/T 420的有关规定。</w:t>
      </w:r>
    </w:p>
    <w:p w14:paraId="43EFFC9F"/>
    <w:p w14:paraId="099222DB">
      <w:pPr>
        <w:pStyle w:val="3"/>
        <w:snapToGrid w:val="0"/>
      </w:pPr>
      <w:bookmarkStart w:id="231" w:name="_Toc23323"/>
      <w:bookmarkStart w:id="232" w:name="_Toc8981"/>
      <w:bookmarkStart w:id="233" w:name="_Toc6071"/>
      <w:bookmarkStart w:id="234" w:name="_Toc29306"/>
      <w:bookmarkStart w:id="235" w:name="_Toc4669"/>
      <w:bookmarkStart w:id="236" w:name="_Toc1160"/>
      <w:bookmarkStart w:id="237" w:name="_Toc6970"/>
      <w:bookmarkStart w:id="238" w:name="_Toc3696"/>
      <w:bookmarkStart w:id="239" w:name="_Toc11160"/>
      <w:bookmarkStart w:id="240" w:name="_Toc3182"/>
      <w:bookmarkStart w:id="241" w:name="_Toc16196"/>
      <w:bookmarkStart w:id="242" w:name="_Toc21141"/>
      <w:bookmarkStart w:id="243" w:name="_Toc29367"/>
      <w:bookmarkStart w:id="244" w:name="_Toc174732765"/>
      <w:r>
        <w:t>3.</w:t>
      </w:r>
      <w:r>
        <w:rPr>
          <w:rFonts w:hint="eastAsia"/>
        </w:rPr>
        <w:t>3</w:t>
      </w:r>
      <w:r>
        <w:t>  连接材料</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3B83AA86">
      <w:r>
        <w:rPr>
          <w:rStyle w:val="22"/>
        </w:rPr>
        <w:t>3.</w:t>
      </w:r>
      <w:r>
        <w:rPr>
          <w:rStyle w:val="22"/>
          <w:rFonts w:hint="eastAsia"/>
        </w:rPr>
        <w:t>3</w:t>
      </w:r>
      <w:r>
        <w:rPr>
          <w:rStyle w:val="22"/>
        </w:rPr>
        <w:t>.</w:t>
      </w:r>
      <w:r>
        <w:rPr>
          <w:rStyle w:val="22"/>
          <w:rFonts w:hint="eastAsia"/>
        </w:rPr>
        <w:t xml:space="preserve">3  </w:t>
      </w:r>
      <w:r>
        <w:rPr>
          <w:rFonts w:hint="eastAsia"/>
        </w:rPr>
        <w:t>规定锚栓</w:t>
      </w:r>
      <w:r>
        <w:t>性能等级不小于</w:t>
      </w:r>
      <w:r>
        <w:rPr>
          <w:rFonts w:hint="eastAsia"/>
        </w:rPr>
        <w:t>4.6</w:t>
      </w:r>
      <w:r>
        <w:t>级</w:t>
      </w:r>
      <w:r>
        <w:rPr>
          <w:rFonts w:hint="eastAsia"/>
        </w:rPr>
        <w:t>，直径不小于8mm，是根据墙体在受到风荷载和设防烈度地震</w:t>
      </w:r>
      <w:r>
        <w:rPr>
          <w:rFonts w:hint="eastAsia"/>
          <w:lang w:eastAsia="zh-CN"/>
        </w:rPr>
        <w:t>作用下</w:t>
      </w:r>
      <w:r>
        <w:rPr>
          <w:rFonts w:hint="eastAsia"/>
        </w:rPr>
        <w:t>的水平地震作用</w:t>
      </w:r>
      <w:r>
        <w:rPr>
          <w:rFonts w:hint="eastAsia"/>
          <w:lang w:eastAsia="zh-CN"/>
        </w:rPr>
        <w:t>进行计算</w:t>
      </w:r>
      <w:r>
        <w:rPr>
          <w:rFonts w:hint="eastAsia"/>
        </w:rPr>
        <w:t>。锚栓的受剪承载力计算</w:t>
      </w:r>
      <w:r>
        <w:t>应符合现行行业标准《混凝土结构后锚固技术规程》JGJ 145的规定</w:t>
      </w:r>
      <w:r>
        <w:rPr>
          <w:rFonts w:hint="eastAsia"/>
        </w:rPr>
        <w:t>。</w:t>
      </w:r>
      <w:bookmarkStart w:id="245" w:name="_Toc2406"/>
      <w:bookmarkStart w:id="246" w:name="_Toc32027"/>
      <w:bookmarkStart w:id="247" w:name="_Toc20618"/>
      <w:bookmarkStart w:id="248" w:name="_Toc9409"/>
      <w:bookmarkStart w:id="249" w:name="_Toc174732766"/>
      <w:bookmarkStart w:id="250" w:name="_Toc958"/>
      <w:bookmarkStart w:id="251" w:name="_Toc31388"/>
    </w:p>
    <w:p w14:paraId="34BBA1FE">
      <w:pPr>
        <w:pStyle w:val="2"/>
      </w:pPr>
      <w:r>
        <w:br w:type="page"/>
      </w:r>
      <w:bookmarkStart w:id="252" w:name="_Toc8467"/>
      <w:bookmarkStart w:id="253" w:name="_Toc15777"/>
      <w:bookmarkStart w:id="254" w:name="_Toc16761"/>
      <w:bookmarkStart w:id="255" w:name="_Toc10119"/>
      <w:bookmarkStart w:id="256" w:name="_Toc22005"/>
      <w:bookmarkStart w:id="257" w:name="_Toc10767"/>
      <w:bookmarkStart w:id="258" w:name="_Toc9714"/>
      <w:r>
        <w:t xml:space="preserve">4  </w:t>
      </w:r>
      <w:r>
        <w:rPr>
          <w:rFonts w:hint="eastAsia"/>
        </w:rPr>
        <w:t>建筑</w:t>
      </w:r>
      <w:r>
        <w:t>设计</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Start w:id="259" w:name="_Toc20740"/>
      <w:bookmarkStart w:id="260" w:name="_Toc12468"/>
      <w:bookmarkStart w:id="261" w:name="_Toc7170"/>
      <w:bookmarkStart w:id="262" w:name="_Toc22308"/>
      <w:bookmarkStart w:id="263" w:name="_Toc12032"/>
      <w:bookmarkStart w:id="264" w:name="_Toc21069"/>
    </w:p>
    <w:p w14:paraId="12ECA315">
      <w:pPr>
        <w:pStyle w:val="3"/>
        <w:snapToGrid w:val="0"/>
      </w:pPr>
      <w:bookmarkStart w:id="265" w:name="_Toc174732767"/>
      <w:bookmarkStart w:id="266" w:name="_Toc20200"/>
      <w:bookmarkStart w:id="267" w:name="_Toc21735"/>
      <w:bookmarkStart w:id="268" w:name="_Toc17067"/>
      <w:bookmarkStart w:id="269" w:name="_Toc29528"/>
      <w:bookmarkStart w:id="270" w:name="_Toc12474"/>
      <w:bookmarkStart w:id="271" w:name="_Toc7987"/>
      <w:bookmarkStart w:id="272" w:name="_Toc24348"/>
      <w:r>
        <w:t>4.1  一般规定</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15759716">
      <w:r>
        <w:rPr>
          <w:rStyle w:val="22"/>
        </w:rPr>
        <w:t>4.1.</w:t>
      </w:r>
      <w:r>
        <w:rPr>
          <w:rStyle w:val="22"/>
          <w:rFonts w:hint="eastAsia"/>
        </w:rPr>
        <w:t>1</w:t>
      </w:r>
      <w:r>
        <w:t xml:space="preserve">  </w:t>
      </w:r>
      <w:r>
        <w:rPr>
          <w:rFonts w:hint="eastAsia"/>
        </w:rPr>
        <w:t>注仓式自保温装配式农房建筑设计宜满足绿色建筑相关规范的要求。注仓式自保温装配式农房应按照建筑模数要求进行设计</w:t>
      </w:r>
      <w:r>
        <w:rPr>
          <w:rFonts w:hint="eastAsia"/>
          <w:lang w:eastAsia="zh-CN"/>
        </w:rPr>
        <w:t>，</w:t>
      </w:r>
      <w:r>
        <w:rPr>
          <w:rFonts w:hint="eastAsia"/>
        </w:rPr>
        <w:t>使工业化建筑的各类部品构件能做到模块化和标准化，通过尺寸协调及互换通用</w:t>
      </w:r>
      <w:r>
        <w:rPr>
          <w:rFonts w:hint="eastAsia"/>
          <w:lang w:eastAsia="zh-CN"/>
        </w:rPr>
        <w:t>，便于多样化设计。</w:t>
      </w:r>
      <w:r>
        <w:rPr>
          <w:rFonts w:hint="eastAsia"/>
        </w:rPr>
        <w:t>也便于多样化设计。</w:t>
      </w:r>
      <w:r>
        <w:t xml:space="preserve"> </w:t>
      </w:r>
    </w:p>
    <w:p w14:paraId="1BBF6979">
      <w:r>
        <w:rPr>
          <w:rStyle w:val="22"/>
        </w:rPr>
        <w:t>4.</w:t>
      </w:r>
      <w:r>
        <w:rPr>
          <w:rStyle w:val="22"/>
          <w:rFonts w:hint="eastAsia"/>
        </w:rPr>
        <w:t>1</w:t>
      </w:r>
      <w:r>
        <w:rPr>
          <w:rStyle w:val="22"/>
        </w:rPr>
        <w:t>.</w:t>
      </w:r>
      <w:r>
        <w:rPr>
          <w:rStyle w:val="22"/>
          <w:rFonts w:hint="eastAsia"/>
        </w:rPr>
        <w:t>2</w:t>
      </w:r>
      <w:r>
        <w:t>  </w:t>
      </w:r>
      <w:r>
        <w:rPr>
          <w:rFonts w:hint="eastAsia"/>
        </w:rPr>
        <w:t>注仓式自保温装配式农</w:t>
      </w:r>
      <w:r>
        <w:rPr>
          <w:rFonts w:hint="eastAsia"/>
          <w:lang w:eastAsia="zh-CN"/>
        </w:rPr>
        <w:t>房</w:t>
      </w:r>
      <w:r>
        <w:rPr>
          <w:rFonts w:hint="eastAsia"/>
        </w:rPr>
        <w:t>建筑设计应注意与结构、给排水、暖通、电气、智能化等各工种在设计中的各个阶段（如方案、初步设计、施工图）的密切配合与协调，应综合考虑建筑集成一体化设计，避免现场随意改动。关于燃气的协同设计，因燃气设计需要专门</w:t>
      </w:r>
      <w:r>
        <w:rPr>
          <w:rFonts w:hint="eastAsia"/>
          <w:lang w:eastAsia="zh-CN"/>
        </w:rPr>
        <w:t>的</w:t>
      </w:r>
      <w:r>
        <w:rPr>
          <w:rFonts w:hint="eastAsia"/>
        </w:rPr>
        <w:t>设计公司设计</w:t>
      </w:r>
      <w:r>
        <w:rPr>
          <w:rFonts w:hint="eastAsia"/>
          <w:lang w:eastAsia="zh-CN"/>
        </w:rPr>
        <w:t>，</w:t>
      </w:r>
      <w:r>
        <w:rPr>
          <w:rFonts w:hint="eastAsia"/>
        </w:rPr>
        <w:t>应尽量在设计过程中与相关部门提前沟通做好预留。</w:t>
      </w:r>
    </w:p>
    <w:p w14:paraId="1F3A553A"/>
    <w:p w14:paraId="7404C41C">
      <w:pPr>
        <w:pStyle w:val="3"/>
        <w:snapToGrid w:val="0"/>
      </w:pPr>
      <w:bookmarkStart w:id="273" w:name="_Toc19789"/>
      <w:bookmarkStart w:id="274" w:name="_Toc24006"/>
      <w:bookmarkStart w:id="275" w:name="_Toc28906"/>
      <w:bookmarkStart w:id="276" w:name="_Toc3796"/>
      <w:bookmarkStart w:id="277" w:name="_Toc174732768"/>
      <w:bookmarkStart w:id="278" w:name="_Toc25188"/>
      <w:bookmarkStart w:id="279" w:name="_Toc26037"/>
      <w:bookmarkStart w:id="280" w:name="_Toc24471"/>
      <w:bookmarkStart w:id="281" w:name="_Toc24410"/>
      <w:bookmarkStart w:id="282" w:name="_Toc9888"/>
      <w:bookmarkStart w:id="283" w:name="_Toc6698"/>
      <w:bookmarkStart w:id="284" w:name="_Toc5868"/>
      <w:bookmarkStart w:id="285" w:name="_Toc18362"/>
      <w:bookmarkStart w:id="286" w:name="_Toc3625"/>
      <w:r>
        <w:t>4.</w:t>
      </w:r>
      <w:r>
        <w:rPr>
          <w:rFonts w:hint="eastAsia"/>
        </w:rPr>
        <w:t>3</w:t>
      </w:r>
      <w:r>
        <w:t>  </w:t>
      </w:r>
      <w:bookmarkEnd w:id="273"/>
      <w:bookmarkEnd w:id="274"/>
      <w:bookmarkEnd w:id="275"/>
      <w:bookmarkEnd w:id="276"/>
      <w:bookmarkEnd w:id="277"/>
      <w:bookmarkEnd w:id="278"/>
      <w:bookmarkEnd w:id="279"/>
      <w:r>
        <w:rPr>
          <w:rFonts w:hint="eastAsia"/>
        </w:rPr>
        <w:t>平面、立面与空间</w:t>
      </w:r>
      <w:bookmarkEnd w:id="280"/>
      <w:bookmarkEnd w:id="281"/>
      <w:bookmarkEnd w:id="282"/>
      <w:bookmarkEnd w:id="283"/>
      <w:bookmarkEnd w:id="284"/>
      <w:bookmarkEnd w:id="285"/>
      <w:bookmarkEnd w:id="286"/>
    </w:p>
    <w:p w14:paraId="2021AD26">
      <w:r>
        <w:rPr>
          <w:rStyle w:val="22"/>
        </w:rPr>
        <w:t>4.</w:t>
      </w:r>
      <w:r>
        <w:rPr>
          <w:rStyle w:val="22"/>
          <w:rFonts w:hint="eastAsia"/>
          <w:lang w:val="en-US" w:eastAsia="zh-CN"/>
        </w:rPr>
        <w:t>3</w:t>
      </w:r>
      <w:r>
        <w:rPr>
          <w:rStyle w:val="22"/>
        </w:rPr>
        <w:t>.</w:t>
      </w:r>
      <w:r>
        <w:rPr>
          <w:rStyle w:val="22"/>
          <w:rFonts w:hint="eastAsia"/>
          <w:lang w:val="en-US" w:eastAsia="zh-CN"/>
        </w:rPr>
        <w:t>2</w:t>
      </w:r>
      <w:r>
        <w:t>  </w:t>
      </w:r>
      <w:r>
        <w:rPr>
          <w:rFonts w:hint="eastAsia"/>
        </w:rPr>
        <w:t>注仓式自保温装配式农房建筑平面设计在方案阶段应与相应的结构体系配合，便于结构专业布置承重构件，使结构受力合理、用材经济，充分发挥结构优势。建筑设计应重视其平面、立面和剖面的规则性，宜优先选用规则的形体，同时便于工厂化、集成化生产加工，提高工程质量，并降低工程造价。</w:t>
      </w:r>
    </w:p>
    <w:p w14:paraId="05A0ACA5">
      <w:r>
        <w:rPr>
          <w:rStyle w:val="22"/>
        </w:rPr>
        <w:t>4.</w:t>
      </w:r>
      <w:r>
        <w:rPr>
          <w:rStyle w:val="22"/>
          <w:rFonts w:hint="eastAsia"/>
          <w:lang w:val="en-US" w:eastAsia="zh-CN"/>
        </w:rPr>
        <w:t>3</w:t>
      </w:r>
      <w:r>
        <w:rPr>
          <w:rStyle w:val="22"/>
        </w:rPr>
        <w:t>.</w:t>
      </w:r>
      <w:r>
        <w:rPr>
          <w:rStyle w:val="22"/>
          <w:rFonts w:hint="eastAsia"/>
          <w:lang w:val="en-US" w:eastAsia="zh-CN"/>
        </w:rPr>
        <w:t>3</w:t>
      </w:r>
      <w:r>
        <w:t>  </w:t>
      </w:r>
      <w:r>
        <w:rPr>
          <w:rFonts w:hint="eastAsia"/>
        </w:rPr>
        <w:t>注仓式自保温装配式农房建筑立面设计中可以通过建筑体量、材质肌理、色彩等变化，形成丰富多样的立面效果。</w:t>
      </w:r>
    </w:p>
    <w:p w14:paraId="73A7E8B0">
      <w:r>
        <w:rPr>
          <w:rStyle w:val="22"/>
        </w:rPr>
        <w:t>4.</w:t>
      </w:r>
      <w:r>
        <w:rPr>
          <w:rStyle w:val="22"/>
          <w:rFonts w:hint="eastAsia"/>
          <w:lang w:val="en-US" w:eastAsia="zh-CN"/>
        </w:rPr>
        <w:t>3</w:t>
      </w:r>
      <w:r>
        <w:rPr>
          <w:rStyle w:val="22"/>
        </w:rPr>
        <w:t>.</w:t>
      </w:r>
      <w:r>
        <w:rPr>
          <w:rStyle w:val="22"/>
          <w:rFonts w:hint="eastAsia"/>
          <w:lang w:val="en-US" w:eastAsia="zh-CN"/>
        </w:rPr>
        <w:t>4</w:t>
      </w:r>
      <w:r>
        <w:t>  </w:t>
      </w:r>
      <w:r>
        <w:rPr>
          <w:rFonts w:hint="eastAsia"/>
        </w:rPr>
        <w:t>含装修在内的楼盖技术层厚度为h，普通住宅当</w:t>
      </w:r>
      <m:oMath>
        <m:sSub>
          <m:sSubPr>
            <m:ctrlPr>
              <w:rPr>
                <w:rFonts w:ascii="Cambria Math" w:hAnsi="Cambria Math"/>
              </w:rPr>
            </m:ctrlPr>
          </m:sSubPr>
          <m:e>
            <m:r>
              <m:rPr>
                <m:sty m:val="p"/>
              </m:rPr>
              <w:rPr>
                <w:rFonts w:ascii="Cambria Math" w:hAnsi="Cambria Math"/>
              </w:rPr>
              <m:t>h</m:t>
            </m:r>
            <m:ctrlPr>
              <w:rPr>
                <w:rFonts w:ascii="Cambria Math" w:hAnsi="Cambria Math"/>
              </w:rPr>
            </m:ctrlPr>
          </m:e>
          <m:sub>
            <m:r>
              <m:rPr>
                <m:sty m:val="p"/>
              </m:rPr>
              <w:rPr>
                <w:rFonts w:ascii="Cambria Math" w:hAnsi="Cambria Math"/>
              </w:rPr>
              <m:t>f</m:t>
            </m:r>
            <m:ctrlPr>
              <w:rPr>
                <w:rFonts w:ascii="Cambria Math" w:hAnsi="Cambria Math"/>
              </w:rPr>
            </m:ctrlPr>
          </m:sub>
        </m:sSub>
      </m:oMath>
      <w:r>
        <w:rPr>
          <w:rFonts w:hint="eastAsia"/>
        </w:rPr>
        <w:t>≤250mm时，层高宜不小于2.8m；当250mm＜</w:t>
      </w:r>
      <m:oMath>
        <m:sSub>
          <m:sSubPr>
            <m:ctrlPr>
              <w:rPr>
                <w:rFonts w:ascii="Cambria Math" w:hAnsi="Cambria Math"/>
              </w:rPr>
            </m:ctrlPr>
          </m:sSubPr>
          <m:e>
            <m:r>
              <m:rPr>
                <m:sty m:val="p"/>
              </m:rPr>
              <w:rPr>
                <w:rFonts w:ascii="Cambria Math" w:hAnsi="Cambria Math"/>
              </w:rPr>
              <m:t>h</m:t>
            </m:r>
            <m:ctrlPr>
              <w:rPr>
                <w:rFonts w:ascii="Cambria Math" w:hAnsi="Cambria Math"/>
              </w:rPr>
            </m:ctrlPr>
          </m:e>
          <m:sub>
            <m:r>
              <m:rPr>
                <m:sty m:val="p"/>
              </m:rPr>
              <w:rPr>
                <w:rFonts w:ascii="Cambria Math" w:hAnsi="Cambria Math"/>
              </w:rPr>
              <m:t>f</m:t>
            </m:r>
            <m:ctrlPr>
              <w:rPr>
                <w:rFonts w:ascii="Cambria Math" w:hAnsi="Cambria Math"/>
              </w:rPr>
            </m:ctrlPr>
          </m:sub>
        </m:sSub>
      </m:oMath>
      <w:r>
        <w:rPr>
          <w:rFonts w:hint="eastAsia"/>
        </w:rPr>
        <w:t>≤350mm 时，层高宜不小于2.9m；当</w:t>
      </w:r>
      <m:oMath>
        <m:sSub>
          <m:sSubPr>
            <m:ctrlPr>
              <w:rPr>
                <w:rFonts w:ascii="Cambria Math" w:hAnsi="Cambria Math"/>
              </w:rPr>
            </m:ctrlPr>
          </m:sSubPr>
          <m:e>
            <m:r>
              <m:rPr>
                <m:sty m:val="p"/>
              </m:rPr>
              <w:rPr>
                <w:rFonts w:ascii="Cambria Math" w:hAnsi="Cambria Math"/>
              </w:rPr>
              <m:t>h</m:t>
            </m:r>
            <m:ctrlPr>
              <w:rPr>
                <w:rFonts w:ascii="Cambria Math" w:hAnsi="Cambria Math"/>
              </w:rPr>
            </m:ctrlPr>
          </m:e>
          <m:sub>
            <m:r>
              <m:rPr>
                <m:sty m:val="p"/>
              </m:rPr>
              <w:rPr>
                <w:rFonts w:ascii="Cambria Math" w:hAnsi="Cambria Math"/>
              </w:rPr>
              <m:t>f</m:t>
            </m:r>
            <m:ctrlPr>
              <w:rPr>
                <w:rFonts w:ascii="Cambria Math" w:hAnsi="Cambria Math"/>
              </w:rPr>
            </m:ctrlPr>
          </m:sub>
        </m:sSub>
      </m:oMath>
      <w:r>
        <w:rPr>
          <w:rFonts w:hint="eastAsia"/>
        </w:rPr>
        <w:t>＞350mm时，层高宜不小于3.0m。</w:t>
      </w:r>
    </w:p>
    <w:p w14:paraId="78FDF0C5">
      <w:bookmarkStart w:id="287" w:name="_Toc29116"/>
      <w:bookmarkStart w:id="288" w:name="_Toc174732771"/>
      <w:bookmarkStart w:id="289" w:name="_Toc11798"/>
      <w:bookmarkStart w:id="290" w:name="_Toc19497"/>
      <w:bookmarkStart w:id="291" w:name="_Toc16583"/>
      <w:bookmarkStart w:id="292" w:name="_Toc27904"/>
      <w:bookmarkStart w:id="293" w:name="_Toc26992"/>
      <w:r>
        <w:br w:type="page"/>
      </w:r>
    </w:p>
    <w:p w14:paraId="7FB3C7CA">
      <w:pPr>
        <w:pStyle w:val="2"/>
      </w:pPr>
      <w:bookmarkStart w:id="294" w:name="_Toc17138"/>
      <w:bookmarkStart w:id="295" w:name="_Toc22114"/>
      <w:bookmarkStart w:id="296" w:name="_Toc20986"/>
      <w:bookmarkStart w:id="297" w:name="_Toc19940"/>
      <w:bookmarkStart w:id="298" w:name="_Toc25940"/>
      <w:bookmarkStart w:id="299" w:name="_Toc21248"/>
      <w:bookmarkStart w:id="300" w:name="_Toc9681"/>
      <w:r>
        <w:t xml:space="preserve">5  </w:t>
      </w:r>
      <w:bookmarkEnd w:id="287"/>
      <w:bookmarkEnd w:id="288"/>
      <w:bookmarkEnd w:id="289"/>
      <w:bookmarkEnd w:id="290"/>
      <w:bookmarkEnd w:id="291"/>
      <w:bookmarkEnd w:id="292"/>
      <w:bookmarkEnd w:id="293"/>
      <w:r>
        <w:rPr>
          <w:rFonts w:hint="eastAsia"/>
        </w:rPr>
        <w:t>结构设计</w:t>
      </w:r>
      <w:bookmarkEnd w:id="294"/>
      <w:bookmarkEnd w:id="295"/>
      <w:bookmarkEnd w:id="296"/>
      <w:bookmarkEnd w:id="297"/>
      <w:bookmarkEnd w:id="298"/>
      <w:bookmarkEnd w:id="299"/>
      <w:bookmarkEnd w:id="300"/>
      <w:bookmarkStart w:id="301" w:name="_Toc1717"/>
    </w:p>
    <w:p w14:paraId="230BAB13">
      <w:pPr>
        <w:pStyle w:val="3"/>
        <w:snapToGrid w:val="0"/>
      </w:pPr>
      <w:bookmarkStart w:id="302" w:name="_Toc18180"/>
      <w:bookmarkStart w:id="303" w:name="_Toc480"/>
      <w:bookmarkStart w:id="304" w:name="_Toc6425"/>
      <w:bookmarkStart w:id="305" w:name="_Toc27204"/>
      <w:bookmarkStart w:id="306" w:name="_Toc25508"/>
      <w:bookmarkStart w:id="307" w:name="_Toc14423"/>
      <w:bookmarkStart w:id="308" w:name="_Toc22565"/>
      <w:bookmarkStart w:id="309" w:name="_Toc2156"/>
      <w:bookmarkStart w:id="310" w:name="_Toc12409"/>
      <w:bookmarkStart w:id="311" w:name="_Toc27044"/>
      <w:bookmarkStart w:id="312" w:name="_Toc8594"/>
      <w:bookmarkStart w:id="313" w:name="_Toc174732772"/>
      <w:bookmarkStart w:id="314" w:name="_Toc22884"/>
      <w:r>
        <w:t>5.1  一般规定</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7F34CAE3">
      <w:pPr>
        <w:snapToGrid w:val="0"/>
      </w:pPr>
      <w:r>
        <w:rPr>
          <w:rStyle w:val="22"/>
        </w:rPr>
        <w:t>5.1.</w:t>
      </w:r>
      <w:r>
        <w:rPr>
          <w:rStyle w:val="22"/>
          <w:rFonts w:hint="eastAsia"/>
        </w:rPr>
        <w:t>3~5.1.4</w:t>
      </w:r>
      <w:r>
        <w:t xml:space="preserve">  </w:t>
      </w:r>
      <w:r>
        <w:rPr>
          <w:rFonts w:hint="eastAsia"/>
        </w:rPr>
        <w:t>特别不规则的建筑会出现各种非标准的构件，不适宜采用注仓式自保温装配式农房。</w:t>
      </w:r>
    </w:p>
    <w:p w14:paraId="3BB3DDF9"/>
    <w:p w14:paraId="52CDB70A">
      <w:pPr>
        <w:pStyle w:val="3"/>
        <w:snapToGrid w:val="0"/>
      </w:pPr>
      <w:bookmarkStart w:id="315" w:name="_Toc174732773"/>
      <w:bookmarkStart w:id="316" w:name="_Toc8958"/>
      <w:bookmarkStart w:id="317" w:name="_Toc27272"/>
      <w:bookmarkStart w:id="318" w:name="_Toc26091"/>
      <w:bookmarkStart w:id="319" w:name="_Toc11333"/>
      <w:bookmarkStart w:id="320" w:name="_Toc3104"/>
      <w:bookmarkStart w:id="321" w:name="_Toc25135"/>
      <w:bookmarkStart w:id="322" w:name="_Toc28634"/>
      <w:bookmarkStart w:id="323" w:name="_Toc12722"/>
      <w:bookmarkStart w:id="324" w:name="_Toc11931"/>
      <w:bookmarkStart w:id="325" w:name="_Toc26743"/>
      <w:bookmarkStart w:id="326" w:name="_Toc13970"/>
      <w:bookmarkStart w:id="327" w:name="_Toc28232"/>
      <w:bookmarkStart w:id="328" w:name="_Toc32064"/>
      <w:r>
        <w:t>5.2  </w:t>
      </w:r>
      <w:bookmarkEnd w:id="315"/>
      <w:bookmarkEnd w:id="316"/>
      <w:bookmarkEnd w:id="317"/>
      <w:bookmarkEnd w:id="318"/>
      <w:bookmarkEnd w:id="319"/>
      <w:bookmarkEnd w:id="320"/>
      <w:bookmarkEnd w:id="321"/>
      <w:r>
        <w:rPr>
          <w:rFonts w:hint="eastAsia"/>
        </w:rPr>
        <w:t>结构体系</w:t>
      </w:r>
      <w:bookmarkEnd w:id="322"/>
      <w:bookmarkEnd w:id="323"/>
      <w:bookmarkEnd w:id="324"/>
      <w:bookmarkEnd w:id="325"/>
      <w:bookmarkEnd w:id="326"/>
      <w:bookmarkEnd w:id="327"/>
      <w:bookmarkEnd w:id="328"/>
    </w:p>
    <w:p w14:paraId="0AFC663E">
      <w:pPr>
        <w:rPr>
          <w:rStyle w:val="22"/>
        </w:rPr>
      </w:pPr>
      <w:r>
        <w:rPr>
          <w:rStyle w:val="22"/>
        </w:rPr>
        <w:t>5.</w:t>
      </w:r>
      <w:r>
        <w:rPr>
          <w:rStyle w:val="22"/>
          <w:rFonts w:hint="eastAsia"/>
        </w:rPr>
        <w:t>2</w:t>
      </w:r>
      <w:r>
        <w:rPr>
          <w:rStyle w:val="22"/>
        </w:rPr>
        <w:t>.</w:t>
      </w:r>
      <w:r>
        <w:rPr>
          <w:rStyle w:val="22"/>
          <w:rFonts w:hint="eastAsia"/>
        </w:rPr>
        <w:t>1</w:t>
      </w:r>
      <w:r>
        <w:t xml:space="preserve">  </w:t>
      </w:r>
      <w:r>
        <w:rPr>
          <w:rFonts w:hint="eastAsia"/>
        </w:rPr>
        <w:t>钢筋混凝土框架结构和钢框架结构，可以完全满足低层住宅建筑的需求。</w:t>
      </w:r>
    </w:p>
    <w:p w14:paraId="28DA9E99">
      <w:r>
        <w:rPr>
          <w:rStyle w:val="22"/>
        </w:rPr>
        <w:t>5.2.</w:t>
      </w:r>
      <w:r>
        <w:rPr>
          <w:rStyle w:val="22"/>
          <w:rFonts w:hint="eastAsia"/>
        </w:rPr>
        <w:t>2、5.2.3</w:t>
      </w:r>
      <w:r>
        <w:t>  </w:t>
      </w:r>
      <w:r>
        <w:rPr>
          <w:rFonts w:hint="eastAsia"/>
        </w:rPr>
        <w:t>强调了注仓式自保温装配式农房的结构体系在概念设计上的原则，宜采用规则的结构，不应采用严重不规则的结构。对于不规则结构，应按有关规定进行计算和采取相应的构造措施，可详见</w:t>
      </w:r>
      <w:r>
        <w:rPr>
          <w:rFonts w:hint="eastAsia"/>
          <w:lang w:eastAsia="zh-CN"/>
        </w:rPr>
        <w:t>《建筑抗震设计标准》GB/T 50011的</w:t>
      </w:r>
      <w:r>
        <w:rPr>
          <w:rFonts w:hint="eastAsia"/>
        </w:rPr>
        <w:t>具体要求。</w:t>
      </w:r>
    </w:p>
    <w:p w14:paraId="681BE353">
      <w:pPr>
        <w:ind w:firstLine="480" w:firstLineChars="200"/>
        <w:rPr>
          <w:rFonts w:hint="eastAsia"/>
        </w:rPr>
      </w:pPr>
      <w:r>
        <w:rPr>
          <w:rFonts w:hint="eastAsia"/>
        </w:rPr>
        <w:t>在概念设计上，结构的平面和竖向布置应使结构具有合理的刚度、质量和承载力分布，避免因局部突变和扭转效应而形成薄弱部位；对可能出现的薄弱部位，在设计中应采取有效措施，增强其抗震能力，结构宜具有多道防线，避免因部分结构或构件的破坏而导致整个结构丧失承受水平风荷载、地震作用和重力荷载的能力。</w:t>
      </w:r>
    </w:p>
    <w:p w14:paraId="1754D469">
      <w:pPr>
        <w:pStyle w:val="7"/>
        <w:rPr>
          <w:rFonts w:hint="eastAsia"/>
        </w:rPr>
      </w:pPr>
    </w:p>
    <w:p w14:paraId="09DEADD6">
      <w:pPr>
        <w:pStyle w:val="3"/>
        <w:snapToGrid w:val="0"/>
        <w:rPr>
          <w:color w:val="auto"/>
        </w:rPr>
      </w:pPr>
      <w:bookmarkStart w:id="329" w:name="_Toc17931"/>
      <w:r>
        <w:rPr>
          <w:color w:val="auto"/>
        </w:rPr>
        <w:t>5.3  </w:t>
      </w:r>
      <w:r>
        <w:rPr>
          <w:rFonts w:hint="eastAsia"/>
          <w:color w:val="auto"/>
        </w:rPr>
        <w:t>基础设计</w:t>
      </w:r>
      <w:bookmarkEnd w:id="329"/>
    </w:p>
    <w:p w14:paraId="2741646E">
      <w:pPr>
        <w:rPr>
          <w:color w:val="auto"/>
          <w:kern w:val="0"/>
        </w:rPr>
      </w:pPr>
      <w:r>
        <w:rPr>
          <w:b/>
          <w:color w:val="auto"/>
        </w:rPr>
        <w:t>5.3.2</w:t>
      </w:r>
      <w:r>
        <w:rPr>
          <w:color w:val="auto"/>
        </w:rPr>
        <w:t xml:space="preserve">  </w:t>
      </w:r>
      <w:r>
        <w:rPr>
          <w:rFonts w:hint="eastAsia"/>
          <w:color w:val="auto"/>
          <w:kern w:val="0"/>
        </w:rPr>
        <w:t>国家现行标准《建筑地基基础设计规范》GB</w:t>
      </w:r>
      <w:r>
        <w:rPr>
          <w:color w:val="auto"/>
          <w:kern w:val="0"/>
        </w:rPr>
        <w:t xml:space="preserve"> </w:t>
      </w:r>
      <w:r>
        <w:rPr>
          <w:rFonts w:hint="eastAsia"/>
          <w:color w:val="auto"/>
          <w:kern w:val="0"/>
        </w:rPr>
        <w:t>50007</w:t>
      </w:r>
      <w:r>
        <w:rPr>
          <w:rFonts w:hint="eastAsia"/>
          <w:color w:val="auto"/>
          <w:kern w:val="0"/>
          <w:lang w:val="en-US" w:eastAsia="zh-CN"/>
        </w:rPr>
        <w:t>规定</w:t>
      </w:r>
      <w:r>
        <w:rPr>
          <w:rFonts w:hint="eastAsia"/>
          <w:color w:val="auto"/>
          <w:kern w:val="0"/>
        </w:rPr>
        <w:t xml:space="preserve">基础最小埋深为 </w:t>
      </w:r>
      <w:r>
        <w:rPr>
          <w:rFonts w:hint="eastAsia"/>
          <w:color w:val="auto"/>
          <w:kern w:val="0"/>
          <w:lang w:val="en-US" w:eastAsia="zh-CN"/>
        </w:rPr>
        <w:t>500mm</w:t>
      </w:r>
      <w:r>
        <w:rPr>
          <w:rFonts w:hint="eastAsia"/>
          <w:color w:val="auto"/>
          <w:kern w:val="0"/>
        </w:rPr>
        <w:t>，本条文将埋深提高至不宜小于700mm，适用于本标准适用范围内</w:t>
      </w:r>
      <w:r>
        <w:rPr>
          <w:rFonts w:hint="eastAsia"/>
          <w:color w:val="auto"/>
          <w:kern w:val="0"/>
          <w:lang w:eastAsia="zh-CN"/>
        </w:rPr>
        <w:t>的建筑</w:t>
      </w:r>
      <w:r>
        <w:rPr>
          <w:rFonts w:hint="eastAsia"/>
          <w:color w:val="auto"/>
          <w:kern w:val="0"/>
        </w:rPr>
        <w:t>，降低浅层填土、大气风化层带来的不均匀沉降风险。“基础宜浅埋”遵循</w:t>
      </w:r>
      <w:r>
        <w:rPr>
          <w:rFonts w:hint="eastAsia"/>
          <w:color w:val="auto"/>
          <w:kern w:val="0"/>
          <w:lang w:val="en-US" w:eastAsia="zh-CN"/>
        </w:rPr>
        <w:t>规范</w:t>
      </w:r>
      <w:r>
        <w:rPr>
          <w:rFonts w:hint="eastAsia"/>
          <w:color w:val="auto"/>
          <w:kern w:val="0"/>
        </w:rPr>
        <w:t>基本原则，当浅层土承载力满足要求时，不</w:t>
      </w:r>
      <w:r>
        <w:rPr>
          <w:rFonts w:hint="eastAsia"/>
          <w:color w:val="auto"/>
          <w:kern w:val="0"/>
          <w:lang w:eastAsia="zh-CN"/>
        </w:rPr>
        <w:t>应盲目</w:t>
      </w:r>
      <w:r>
        <w:rPr>
          <w:rFonts w:hint="eastAsia"/>
          <w:color w:val="auto"/>
          <w:kern w:val="0"/>
        </w:rPr>
        <w:t>加深基础。基槽开挖后必须验槽，确保基底进入连续稳定持力层≥150mm，杜绝基底置于软弱</w:t>
      </w:r>
      <w:r>
        <w:rPr>
          <w:rFonts w:hint="eastAsia"/>
          <w:color w:val="auto"/>
          <w:kern w:val="0"/>
          <w:lang w:val="en-US" w:eastAsia="zh-CN"/>
        </w:rPr>
        <w:t>土</w:t>
      </w:r>
      <w:r>
        <w:rPr>
          <w:rFonts w:hint="eastAsia"/>
          <w:color w:val="auto"/>
          <w:kern w:val="0"/>
        </w:rPr>
        <w:t>层、回填土上。垫层厚度≥100mm，通常采用C15素混凝土，防止浇筑基础时扰动原状地基土。</w:t>
      </w:r>
    </w:p>
    <w:p w14:paraId="3E755E49">
      <w:pPr>
        <w:pStyle w:val="7"/>
        <w:keepNext w:val="0"/>
        <w:keepLines w:val="0"/>
        <w:pageBreakBefore w:val="0"/>
        <w:widowControl w:val="0"/>
        <w:kinsoku/>
        <w:wordWrap/>
        <w:overflowPunct/>
        <w:topLinePunct w:val="0"/>
        <w:autoSpaceDE/>
        <w:autoSpaceDN/>
        <w:bidi w:val="0"/>
        <w:adjustRightInd/>
        <w:snapToGrid/>
        <w:spacing w:after="0"/>
        <w:textAlignment w:val="auto"/>
        <w:rPr>
          <w:color w:val="auto"/>
        </w:rPr>
      </w:pPr>
      <w:r>
        <w:rPr>
          <w:b/>
          <w:color w:val="auto"/>
        </w:rPr>
        <w:t>5.3.3</w:t>
      </w:r>
      <w:r>
        <w:rPr>
          <w:rFonts w:hint="eastAsia"/>
          <w:b/>
          <w:color w:val="auto"/>
          <w:lang w:val="en-US" w:eastAsia="zh-CN"/>
        </w:rPr>
        <w:t xml:space="preserve">  </w:t>
      </w:r>
      <w:r>
        <w:rPr>
          <w:rFonts w:ascii="宋体" w:hAnsi="宋体" w:eastAsia="宋体" w:cs="宋体"/>
          <w:sz w:val="24"/>
          <w:szCs w:val="24"/>
        </w:rPr>
        <w:t>同一结构单元采用不同地基处理方案，会造成地基刚度、压缩模量</w:t>
      </w:r>
      <w:r>
        <w:rPr>
          <w:rFonts w:hint="eastAsia" w:ascii="宋体" w:hAnsi="宋体" w:cs="宋体"/>
          <w:sz w:val="24"/>
          <w:szCs w:val="24"/>
          <w:lang w:eastAsia="zh-CN"/>
        </w:rPr>
        <w:t>的差异</w:t>
      </w:r>
      <w:r>
        <w:rPr>
          <w:rFonts w:ascii="宋体" w:hAnsi="宋体" w:eastAsia="宋体" w:cs="宋体"/>
          <w:sz w:val="24"/>
          <w:szCs w:val="24"/>
        </w:rPr>
        <w:t>，产生显著不均匀沉降，严重时造成结构损坏，因此要求统一处理方式。</w:t>
      </w:r>
    </w:p>
    <w:p w14:paraId="26967AC7">
      <w:pPr>
        <w:rPr>
          <w:color w:val="auto"/>
          <w:kern w:val="0"/>
        </w:rPr>
      </w:pPr>
      <w:r>
        <w:rPr>
          <w:b/>
          <w:color w:val="auto"/>
        </w:rPr>
        <w:t>5.3.4</w:t>
      </w:r>
      <w:r>
        <w:rPr>
          <w:color w:val="auto"/>
        </w:rPr>
        <w:t xml:space="preserve">  </w:t>
      </w:r>
      <w:r>
        <w:rPr>
          <w:rFonts w:hint="eastAsia"/>
          <w:color w:val="auto"/>
        </w:rPr>
        <w:t>注仓式自保温装配式农房</w:t>
      </w:r>
      <w:r>
        <w:rPr>
          <w:rFonts w:hint="eastAsia"/>
          <w:color w:val="auto"/>
          <w:lang w:val="en-US" w:eastAsia="zh-CN"/>
        </w:rPr>
        <w:t>的</w:t>
      </w:r>
      <w:r>
        <w:rPr>
          <w:rFonts w:ascii="宋体" w:hAnsi="宋体" w:eastAsia="宋体" w:cs="宋体"/>
          <w:sz w:val="24"/>
          <w:szCs w:val="24"/>
        </w:rPr>
        <w:t>荷载沿墙体分布，优先选用条形基础；荷载大、地基软弱、需要控制整体沉降时</w:t>
      </w:r>
      <w:r>
        <w:rPr>
          <w:rFonts w:hint="eastAsia" w:ascii="宋体" w:hAnsi="宋体" w:cs="宋体"/>
          <w:sz w:val="24"/>
          <w:szCs w:val="24"/>
          <w:lang w:eastAsia="zh-CN"/>
        </w:rPr>
        <w:t>，选用</w:t>
      </w:r>
      <w:r>
        <w:rPr>
          <w:rFonts w:ascii="宋体" w:hAnsi="宋体" w:eastAsia="宋体" w:cs="宋体"/>
          <w:sz w:val="24"/>
          <w:szCs w:val="24"/>
        </w:rPr>
        <w:t>筏形基础；浅层地基承载力不足、软弱土层较厚时</w:t>
      </w:r>
      <w:r>
        <w:rPr>
          <w:rFonts w:hint="eastAsia" w:ascii="宋体" w:hAnsi="宋体" w:cs="宋体"/>
          <w:sz w:val="24"/>
          <w:szCs w:val="24"/>
          <w:lang w:eastAsia="zh-CN"/>
        </w:rPr>
        <w:t>，采用</w:t>
      </w:r>
      <w:r>
        <w:rPr>
          <w:rFonts w:ascii="宋体" w:hAnsi="宋体" w:eastAsia="宋体" w:cs="宋体"/>
          <w:sz w:val="24"/>
          <w:szCs w:val="24"/>
        </w:rPr>
        <w:t>桩基础。浅基础天然地基或处理地基均会产生沉降变形，室内外给水、排水、热力管线与基础外墙连接处，若未预留变形余量，容易出现管道断裂、接口渗漏</w:t>
      </w:r>
      <w:r>
        <w:rPr>
          <w:rFonts w:hint="eastAsia" w:ascii="宋体" w:hAnsi="宋体" w:cs="宋体"/>
          <w:sz w:val="24"/>
          <w:szCs w:val="24"/>
          <w:lang w:eastAsia="zh-CN"/>
        </w:rPr>
        <w:t>的情况。</w:t>
      </w:r>
    </w:p>
    <w:p w14:paraId="7094C155">
      <w:pPr>
        <w:rPr>
          <w:color w:val="auto"/>
        </w:rPr>
      </w:pPr>
      <w:r>
        <w:rPr>
          <w:b/>
          <w:color w:val="auto"/>
        </w:rPr>
        <w:t>5.3.5</w:t>
      </w:r>
      <w:r>
        <w:rPr>
          <w:color w:val="auto"/>
        </w:rPr>
        <w:t xml:space="preserve">  </w:t>
      </w:r>
      <w:r>
        <w:rPr>
          <w:rFonts w:hint="eastAsia"/>
          <w:color w:val="auto"/>
          <w:kern w:val="0"/>
          <w:lang w:val="en-US" w:eastAsia="zh-CN"/>
        </w:rPr>
        <w:t>条文</w:t>
      </w:r>
      <w:r>
        <w:rPr>
          <w:rFonts w:ascii="宋体" w:hAnsi="宋体" w:eastAsia="宋体" w:cs="宋体"/>
          <w:sz w:val="24"/>
          <w:szCs w:val="24"/>
        </w:rPr>
        <w:t>规定</w:t>
      </w:r>
      <w:r>
        <w:rPr>
          <w:rFonts w:hint="eastAsia" w:ascii="宋体" w:hAnsi="宋体" w:cs="宋体"/>
          <w:sz w:val="24"/>
          <w:szCs w:val="24"/>
          <w:lang w:eastAsia="zh-CN"/>
        </w:rPr>
        <w:t>了</w:t>
      </w:r>
      <w:r>
        <w:rPr>
          <w:rFonts w:ascii="宋体" w:hAnsi="宋体" w:eastAsia="宋体" w:cs="宋体"/>
          <w:sz w:val="24"/>
          <w:szCs w:val="24"/>
        </w:rPr>
        <w:t>基础最小构造尺寸与配筋控制要求，防止基础刚度不足、配筋过细</w:t>
      </w:r>
      <w:r>
        <w:rPr>
          <w:rFonts w:hint="eastAsia" w:ascii="宋体" w:hAnsi="宋体" w:cs="宋体"/>
          <w:sz w:val="24"/>
          <w:szCs w:val="24"/>
          <w:lang w:eastAsia="zh-CN"/>
        </w:rPr>
        <w:t>、</w:t>
      </w:r>
      <w:r>
        <w:rPr>
          <w:rFonts w:ascii="宋体" w:hAnsi="宋体" w:eastAsia="宋体" w:cs="宋体"/>
          <w:sz w:val="24"/>
          <w:szCs w:val="24"/>
        </w:rPr>
        <w:t>排布过密</w:t>
      </w:r>
      <w:r>
        <w:rPr>
          <w:rFonts w:hint="eastAsia" w:ascii="宋体" w:hAnsi="宋体" w:cs="宋体"/>
          <w:sz w:val="24"/>
          <w:szCs w:val="24"/>
          <w:lang w:val="en-US" w:eastAsia="zh-CN"/>
        </w:rPr>
        <w:t>或</w:t>
      </w:r>
      <w:r>
        <w:rPr>
          <w:rFonts w:ascii="宋体" w:hAnsi="宋体" w:eastAsia="宋体" w:cs="宋体"/>
          <w:sz w:val="24"/>
          <w:szCs w:val="24"/>
        </w:rPr>
        <w:t>过疏，保障基础耐久性与抗裂性能。</w:t>
      </w:r>
    </w:p>
    <w:p w14:paraId="089B1482">
      <w:pPr>
        <w:pStyle w:val="7"/>
        <w:rPr>
          <w:rFonts w:hint="eastAsia"/>
        </w:rPr>
      </w:pPr>
      <w:r>
        <w:rPr>
          <w:b/>
          <w:color w:val="auto"/>
        </w:rPr>
        <w:t>5.3.6</w:t>
      </w:r>
      <w:r>
        <w:rPr>
          <w:color w:val="auto"/>
        </w:rPr>
        <w:t xml:space="preserve">  </w:t>
      </w:r>
      <w:r>
        <w:rPr>
          <w:rFonts w:ascii="宋体" w:hAnsi="宋体" w:eastAsia="宋体" w:cs="宋体"/>
          <w:sz w:val="24"/>
          <w:szCs w:val="24"/>
        </w:rPr>
        <w:t>砌体基础整体性较弱，设置基础圈梁可以箍住砌体、调节不均匀沉降，防止基础及上部墙体出现贯通裂缝，提升结构抗震性能。</w:t>
      </w:r>
    </w:p>
    <w:p w14:paraId="58127BC1">
      <w:pPr>
        <w:rPr>
          <w:rFonts w:hint="eastAsia"/>
        </w:rPr>
      </w:pPr>
      <w:r>
        <w:rPr>
          <w:rFonts w:hint="eastAsia"/>
        </w:rPr>
        <w:br w:type="page"/>
      </w:r>
    </w:p>
    <w:p w14:paraId="221FF870">
      <w:pPr>
        <w:pStyle w:val="2"/>
        <w:rPr>
          <w:rFonts w:hint="eastAsia"/>
        </w:rPr>
      </w:pPr>
      <w:bookmarkStart w:id="330" w:name="_Toc27439"/>
      <w:bookmarkStart w:id="331" w:name="_Toc18655"/>
      <w:r>
        <w:rPr>
          <w:rFonts w:hint="eastAsia"/>
          <w:lang w:val="en-US" w:eastAsia="zh-CN"/>
        </w:rPr>
        <w:t>6</w:t>
      </w:r>
      <w:r>
        <w:t xml:space="preserve">  </w:t>
      </w:r>
      <w:r>
        <w:rPr>
          <w:rFonts w:hint="eastAsia"/>
          <w:lang w:val="en-US" w:eastAsia="zh-CN"/>
        </w:rPr>
        <w:t>机电</w:t>
      </w:r>
      <w:r>
        <w:rPr>
          <w:rFonts w:hint="eastAsia"/>
        </w:rPr>
        <w:t>设计</w:t>
      </w:r>
      <w:bookmarkEnd w:id="330"/>
      <w:bookmarkEnd w:id="331"/>
    </w:p>
    <w:p w14:paraId="2FDB099E">
      <w:pPr>
        <w:pStyle w:val="3"/>
        <w:snapToGrid w:val="0"/>
      </w:pPr>
      <w:bookmarkStart w:id="332" w:name="_Toc12758"/>
      <w:bookmarkStart w:id="333" w:name="_Toc10876"/>
      <w:r>
        <w:t>6.1  一般规定</w:t>
      </w:r>
      <w:bookmarkEnd w:id="332"/>
    </w:p>
    <w:p w14:paraId="087119A5">
      <w:pPr>
        <w:autoSpaceDE w:val="0"/>
        <w:autoSpaceDN w:val="0"/>
        <w:adjustRightInd w:val="0"/>
        <w:rPr>
          <w:color w:val="auto"/>
          <w:kern w:val="0"/>
        </w:rPr>
      </w:pPr>
      <w:r>
        <w:rPr>
          <w:rStyle w:val="22"/>
          <w:rFonts w:hint="eastAsia"/>
          <w:color w:val="auto"/>
        </w:rPr>
        <w:t>6</w:t>
      </w:r>
      <w:r>
        <w:rPr>
          <w:b/>
          <w:color w:val="auto"/>
        </w:rPr>
        <w:t>.1</w:t>
      </w:r>
      <w:r>
        <w:rPr>
          <w:rFonts w:hint="eastAsia"/>
          <w:b/>
          <w:color w:val="auto"/>
        </w:rPr>
        <w:t>.</w:t>
      </w:r>
      <w:r>
        <w:rPr>
          <w:b/>
          <w:color w:val="auto"/>
        </w:rPr>
        <w:t xml:space="preserve">1 </w:t>
      </w:r>
      <w:r>
        <w:rPr>
          <w:rFonts w:hint="eastAsia"/>
          <w:b/>
          <w:color w:val="auto"/>
          <w:lang w:val="en-US" w:eastAsia="zh-CN"/>
        </w:rPr>
        <w:t xml:space="preserve"> </w:t>
      </w:r>
      <w:r>
        <w:rPr>
          <w:rFonts w:ascii="宋体" w:hAnsi="宋体" w:eastAsia="宋体" w:cs="宋体"/>
          <w:sz w:val="24"/>
          <w:szCs w:val="24"/>
        </w:rPr>
        <w:t>不同区域温湿度、日照、冻融、雨水条件差异较大，采暖、通风、给排水、电气管线</w:t>
      </w:r>
      <w:r>
        <w:rPr>
          <w:rFonts w:hint="eastAsia" w:ascii="宋体" w:hAnsi="宋体" w:cs="宋体"/>
          <w:sz w:val="24"/>
          <w:szCs w:val="24"/>
          <w:lang w:eastAsia="zh-CN"/>
        </w:rPr>
        <w:t>的保温</w:t>
      </w:r>
      <w:r>
        <w:rPr>
          <w:rFonts w:ascii="宋体" w:hAnsi="宋体" w:eastAsia="宋体" w:cs="宋体"/>
          <w:sz w:val="24"/>
          <w:szCs w:val="24"/>
        </w:rPr>
        <w:t>、防结露、防冻措施需因地制宜。机电方案不能独立于建筑节能体系，冷热源、通风、照明、配电系统选型与管路布置应与建筑围护结构、采光、保温构造协同设计。工程设计除执行本条外，还应执行防火、抗震、无障碍等相关配套标准。</w:t>
      </w:r>
    </w:p>
    <w:p w14:paraId="14B7D8E9">
      <w:pPr>
        <w:rPr>
          <w:color w:val="auto"/>
        </w:rPr>
      </w:pPr>
      <w:r>
        <w:rPr>
          <w:rFonts w:hint="eastAsia"/>
          <w:b/>
          <w:color w:val="auto"/>
        </w:rPr>
        <w:t>6</w:t>
      </w:r>
      <w:r>
        <w:rPr>
          <w:b/>
          <w:color w:val="auto"/>
        </w:rPr>
        <w:t>.1.2</w:t>
      </w:r>
      <w:r>
        <w:rPr>
          <w:rFonts w:hint="eastAsia"/>
          <w:b/>
          <w:color w:val="auto"/>
        </w:rPr>
        <w:t xml:space="preserve"> </w:t>
      </w:r>
      <w:r>
        <w:rPr>
          <w:rFonts w:hint="eastAsia"/>
          <w:b/>
          <w:color w:val="auto"/>
          <w:lang w:val="en-US" w:eastAsia="zh-CN"/>
        </w:rPr>
        <w:t xml:space="preserve"> </w:t>
      </w:r>
      <w:r>
        <w:rPr>
          <w:rFonts w:ascii="宋体" w:hAnsi="宋体" w:eastAsia="宋体" w:cs="宋体"/>
          <w:sz w:val="24"/>
          <w:szCs w:val="24"/>
        </w:rPr>
        <w:t>设备选型应匹配建筑负荷条件，避免设备规格冗余或容量不足；管线平面、竖向定位应提前与建筑、结构专业协同。机电设计严禁在承重构件上随意开设过大孔洞</w:t>
      </w:r>
      <w:r>
        <w:rPr>
          <w:rFonts w:hint="eastAsia" w:ascii="宋体" w:hAnsi="宋体" w:cs="宋体"/>
          <w:sz w:val="24"/>
          <w:szCs w:val="24"/>
          <w:lang w:eastAsia="zh-CN"/>
        </w:rPr>
        <w:t>，</w:t>
      </w:r>
      <w:r>
        <w:rPr>
          <w:rFonts w:ascii="宋体" w:hAnsi="宋体" w:eastAsia="宋体" w:cs="宋体"/>
          <w:sz w:val="24"/>
          <w:szCs w:val="24"/>
        </w:rPr>
        <w:t>严禁管线荷载长期集中作用于局部结构构件，不得削弱梁、板、墙、柱有效截面。重型设备支座、吊架位置应由结构专业复核确认。</w:t>
      </w:r>
    </w:p>
    <w:p w14:paraId="562B6255">
      <w:pPr>
        <w:rPr>
          <w:rFonts w:hint="eastAsia" w:eastAsia="宋体"/>
          <w:color w:val="auto"/>
          <w:lang w:eastAsia="zh-CN"/>
        </w:rPr>
      </w:pPr>
      <w:r>
        <w:rPr>
          <w:rFonts w:hint="eastAsia"/>
          <w:b/>
          <w:color w:val="auto"/>
        </w:rPr>
        <w:t>6</w:t>
      </w:r>
      <w:r>
        <w:rPr>
          <w:b/>
          <w:color w:val="auto"/>
        </w:rPr>
        <w:t>.1.</w:t>
      </w:r>
      <w:r>
        <w:rPr>
          <w:rFonts w:hint="eastAsia"/>
          <w:b/>
          <w:color w:val="auto"/>
        </w:rPr>
        <w:t>3</w:t>
      </w:r>
      <w:r>
        <w:rPr>
          <w:b/>
          <w:color w:val="auto"/>
        </w:rPr>
        <w:t xml:space="preserve"> </w:t>
      </w:r>
      <w:r>
        <w:rPr>
          <w:rFonts w:hint="eastAsia"/>
          <w:b/>
          <w:color w:val="auto"/>
          <w:lang w:val="en-US" w:eastAsia="zh-CN"/>
        </w:rPr>
        <w:t xml:space="preserve"> </w:t>
      </w:r>
      <w:r>
        <w:rPr>
          <w:rFonts w:ascii="宋体" w:hAnsi="宋体" w:eastAsia="宋体" w:cs="宋体"/>
          <w:sz w:val="24"/>
          <w:szCs w:val="24"/>
        </w:rPr>
        <w:t>管线贯穿围护构件会形成贯通缝隙：穿越防火墙、楼板易造成火灾蔓延；穿越屋面、外墙易产生雨水渗漏；管线直接贯通墙体、楼板易形成热桥</w:t>
      </w:r>
      <w:r>
        <w:rPr>
          <w:rFonts w:hint="eastAsia" w:ascii="宋体" w:hAnsi="宋体" w:cs="宋体"/>
          <w:sz w:val="24"/>
          <w:szCs w:val="24"/>
          <w:lang w:eastAsia="zh-CN"/>
        </w:rPr>
        <w:t>，造成</w:t>
      </w:r>
      <w:r>
        <w:rPr>
          <w:rFonts w:ascii="宋体" w:hAnsi="宋体" w:eastAsia="宋体" w:cs="宋体"/>
          <w:sz w:val="24"/>
          <w:szCs w:val="24"/>
        </w:rPr>
        <w:t>能耗增加、结露，同时形成声桥传递噪声。应根据构件功能配套采用防火封堵材料、防水套管、密封填料、隔声衬垫、隔热隔断等措施</w:t>
      </w:r>
      <w:r>
        <w:rPr>
          <w:rFonts w:hint="eastAsia" w:ascii="宋体" w:hAnsi="宋体" w:cs="宋体"/>
          <w:sz w:val="24"/>
          <w:szCs w:val="24"/>
          <w:lang w:eastAsia="zh-CN"/>
        </w:rPr>
        <w:t>。</w:t>
      </w:r>
    </w:p>
    <w:p w14:paraId="4361EC03">
      <w:pPr>
        <w:rPr>
          <w:color w:val="auto"/>
        </w:rPr>
      </w:pPr>
      <w:r>
        <w:rPr>
          <w:rFonts w:hint="eastAsia"/>
          <w:b/>
          <w:color w:val="auto"/>
        </w:rPr>
        <w:t>6</w:t>
      </w:r>
      <w:r>
        <w:rPr>
          <w:b/>
          <w:color w:val="auto"/>
        </w:rPr>
        <w:t>.1.</w:t>
      </w:r>
      <w:r>
        <w:rPr>
          <w:rFonts w:hint="eastAsia"/>
          <w:b/>
          <w:color w:val="auto"/>
        </w:rPr>
        <w:t>4</w:t>
      </w:r>
      <w:r>
        <w:rPr>
          <w:b/>
          <w:color w:val="auto"/>
        </w:rPr>
        <w:t xml:space="preserve"> </w:t>
      </w:r>
      <w:r>
        <w:rPr>
          <w:rFonts w:hint="eastAsia"/>
          <w:b/>
          <w:color w:val="auto"/>
          <w:lang w:val="en-US" w:eastAsia="zh-CN"/>
        </w:rPr>
        <w:t xml:space="preserve"> </w:t>
      </w:r>
      <w:r>
        <w:rPr>
          <w:rFonts w:ascii="宋体" w:hAnsi="宋体" w:eastAsia="宋体" w:cs="宋体"/>
          <w:sz w:val="24"/>
          <w:szCs w:val="24"/>
        </w:rPr>
        <w:t>机电管线综合工作应前置，孔洞、沟槽、套管在结构施工图阶段统一预留。如因特殊情况确需后期开孔，必须经结构专业验算并出具加固方案，履行审批手续。</w:t>
      </w:r>
    </w:p>
    <w:p w14:paraId="61F4505C">
      <w:pPr>
        <w:pStyle w:val="7"/>
        <w:rPr>
          <w:color w:val="auto"/>
        </w:rPr>
      </w:pPr>
    </w:p>
    <w:p w14:paraId="4565CD21">
      <w:pPr>
        <w:pStyle w:val="3"/>
        <w:snapToGrid w:val="0"/>
      </w:pPr>
      <w:bookmarkStart w:id="334" w:name="_Toc21262"/>
      <w:r>
        <w:t>6.2  </w:t>
      </w:r>
      <w:r>
        <w:rPr>
          <w:rFonts w:hint="eastAsia"/>
        </w:rPr>
        <w:t>给排水</w:t>
      </w:r>
      <w:r>
        <w:t>设计</w:t>
      </w:r>
      <w:bookmarkEnd w:id="334"/>
    </w:p>
    <w:p w14:paraId="619F8546">
      <w:pPr>
        <w:rPr>
          <w:color w:val="auto"/>
        </w:rPr>
      </w:pPr>
      <w:r>
        <w:rPr>
          <w:rStyle w:val="22"/>
          <w:rFonts w:hint="eastAsia"/>
          <w:color w:val="auto"/>
        </w:rPr>
        <w:t xml:space="preserve">6.2.2 </w:t>
      </w:r>
      <w:r>
        <w:rPr>
          <w:rFonts w:hint="eastAsia"/>
          <w:color w:val="auto"/>
        </w:rPr>
        <w:t xml:space="preserve"> </w:t>
      </w:r>
      <w:r>
        <w:rPr>
          <w:rFonts w:hint="eastAsia" w:ascii="宋体" w:hAnsi="宋体" w:cs="宋体"/>
          <w:sz w:val="24"/>
          <w:szCs w:val="24"/>
          <w:lang w:val="en-US" w:eastAsia="zh-CN"/>
        </w:rPr>
        <w:t>农</w:t>
      </w:r>
      <w:r>
        <w:rPr>
          <w:rFonts w:ascii="宋体" w:hAnsi="宋体" w:eastAsia="宋体" w:cs="宋体"/>
          <w:sz w:val="24"/>
          <w:szCs w:val="24"/>
        </w:rPr>
        <w:t>村供水保障条件参差不齐，推广节水器具有利于降低日常用水量，减轻供水设施负荷。有条件项目可配套雨水收集、再生水利用设施</w:t>
      </w:r>
      <w:r>
        <w:rPr>
          <w:rFonts w:hint="eastAsia" w:ascii="宋体" w:hAnsi="宋体" w:cs="宋体"/>
          <w:sz w:val="24"/>
          <w:szCs w:val="24"/>
          <w:lang w:eastAsia="zh-CN"/>
        </w:rPr>
        <w:t>，</w:t>
      </w:r>
      <w:r>
        <w:rPr>
          <w:rFonts w:ascii="宋体" w:hAnsi="宋体" w:eastAsia="宋体" w:cs="宋体"/>
          <w:sz w:val="24"/>
          <w:szCs w:val="24"/>
        </w:rPr>
        <w:t>进一步提升水资源利用效率。</w:t>
      </w:r>
    </w:p>
    <w:p w14:paraId="6784ECB4">
      <w:pPr>
        <w:rPr>
          <w:color w:val="auto"/>
        </w:rPr>
      </w:pPr>
      <w:r>
        <w:rPr>
          <w:rFonts w:hint="eastAsia"/>
          <w:b/>
          <w:color w:val="auto"/>
        </w:rPr>
        <w:t>6.</w:t>
      </w:r>
      <w:r>
        <w:rPr>
          <w:b/>
          <w:color w:val="auto"/>
        </w:rPr>
        <w:t>2.</w:t>
      </w:r>
      <w:r>
        <w:rPr>
          <w:rFonts w:hint="eastAsia"/>
          <w:b/>
          <w:color w:val="auto"/>
        </w:rPr>
        <w:t>3</w:t>
      </w:r>
      <w:r>
        <w:rPr>
          <w:color w:val="auto"/>
        </w:rPr>
        <w:t xml:space="preserve">  </w:t>
      </w:r>
      <w:r>
        <w:rPr>
          <w:rFonts w:ascii="宋体" w:hAnsi="宋体" w:eastAsia="宋体" w:cs="宋体"/>
          <w:sz w:val="24"/>
          <w:szCs w:val="24"/>
        </w:rPr>
        <w:t>排水管道内水流、气流冲击管壁易产生持续噪声，卧室为主要休息空间，应优先将排水立管布置于卫生间、厨房等非居住侧墙体。受平面布局限制，立管不得不邻卧室墙体敷设时，可采用隔声管材、管道外包隔声吸声材料、设置管道井、墙体增设隔声构造等降噪手段，确保卧室噪声指标满足强制性通用规范限值。</w:t>
      </w:r>
    </w:p>
    <w:p w14:paraId="355BB92C">
      <w:pPr>
        <w:rPr>
          <w:color w:val="auto"/>
        </w:rPr>
      </w:pPr>
      <w:r>
        <w:rPr>
          <w:rFonts w:hint="eastAsia"/>
          <w:b/>
          <w:color w:val="auto"/>
        </w:rPr>
        <w:t>6</w:t>
      </w:r>
      <w:r>
        <w:rPr>
          <w:b/>
          <w:color w:val="auto"/>
        </w:rPr>
        <w:t>.2.</w:t>
      </w:r>
      <w:r>
        <w:rPr>
          <w:rFonts w:hint="eastAsia"/>
          <w:b/>
          <w:color w:val="auto"/>
        </w:rPr>
        <w:t>4</w:t>
      </w:r>
      <w:r>
        <w:rPr>
          <w:color w:val="auto"/>
        </w:rPr>
        <w:t xml:space="preserve">  </w:t>
      </w:r>
      <w:r>
        <w:rPr>
          <w:rFonts w:ascii="宋体" w:hAnsi="宋体" w:eastAsia="宋体" w:cs="宋体"/>
          <w:sz w:val="24"/>
          <w:szCs w:val="24"/>
        </w:rPr>
        <w:t>针对装配式集成厨卫特点，避免管线接口隐蔽封闭后无法检修，降低后期渗漏维修难度。</w:t>
      </w:r>
    </w:p>
    <w:p w14:paraId="56D7FB4B">
      <w:pPr>
        <w:rPr>
          <w:color w:val="auto"/>
        </w:rPr>
      </w:pPr>
      <w:r>
        <w:rPr>
          <w:rFonts w:hint="eastAsia"/>
          <w:b/>
          <w:color w:val="auto"/>
        </w:rPr>
        <w:t>6</w:t>
      </w:r>
      <w:r>
        <w:rPr>
          <w:b/>
          <w:color w:val="auto"/>
        </w:rPr>
        <w:t>.2.</w:t>
      </w:r>
      <w:r>
        <w:rPr>
          <w:rFonts w:hint="eastAsia"/>
          <w:b/>
          <w:color w:val="auto"/>
        </w:rPr>
        <w:t>5</w:t>
      </w:r>
      <w:r>
        <w:rPr>
          <w:color w:val="auto"/>
        </w:rPr>
        <w:t xml:space="preserve">  </w:t>
      </w:r>
      <w:r>
        <w:rPr>
          <w:rFonts w:hint="eastAsia" w:ascii="宋体" w:hAnsi="宋体" w:cs="宋体"/>
          <w:sz w:val="24"/>
          <w:szCs w:val="24"/>
          <w:lang w:val="en-US" w:eastAsia="zh-CN"/>
        </w:rPr>
        <w:t>墙</w:t>
      </w:r>
      <w:r>
        <w:rPr>
          <w:rFonts w:ascii="宋体" w:hAnsi="宋体" w:eastAsia="宋体" w:cs="宋体"/>
          <w:sz w:val="24"/>
          <w:szCs w:val="24"/>
        </w:rPr>
        <w:t>内管线优先采用套管敷设方式，实现可抽换；冷水管道外壁设置保温防结露层，隔绝空气中水汽凝结。热水管道按规范设置保温</w:t>
      </w:r>
      <w:r>
        <w:rPr>
          <w:rFonts w:hint="eastAsia" w:ascii="宋体" w:hAnsi="宋体" w:cs="宋体"/>
          <w:sz w:val="24"/>
          <w:szCs w:val="24"/>
          <w:lang w:eastAsia="zh-CN"/>
        </w:rPr>
        <w:t>隔热层</w:t>
      </w:r>
      <w:r>
        <w:rPr>
          <w:rFonts w:ascii="宋体" w:hAnsi="宋体" w:eastAsia="宋体" w:cs="宋体"/>
          <w:sz w:val="24"/>
          <w:szCs w:val="24"/>
        </w:rPr>
        <w:t>，减少能耗。</w:t>
      </w:r>
    </w:p>
    <w:p w14:paraId="243CF1CB">
      <w:pPr>
        <w:pStyle w:val="7"/>
        <w:rPr>
          <w:color w:val="auto"/>
        </w:rPr>
      </w:pPr>
      <w:r>
        <w:rPr>
          <w:rFonts w:hint="eastAsia"/>
          <w:b/>
          <w:color w:val="auto"/>
        </w:rPr>
        <w:t>6</w:t>
      </w:r>
      <w:r>
        <w:rPr>
          <w:b/>
          <w:color w:val="auto"/>
        </w:rPr>
        <w:t>.2.</w:t>
      </w:r>
      <w:r>
        <w:rPr>
          <w:rFonts w:hint="eastAsia"/>
          <w:b/>
          <w:color w:val="auto"/>
        </w:rPr>
        <w:t>6</w:t>
      </w:r>
      <w:r>
        <w:rPr>
          <w:color w:val="auto"/>
        </w:rPr>
        <w:t xml:space="preserve">  </w:t>
      </w:r>
      <w:r>
        <w:rPr>
          <w:rFonts w:ascii="宋体" w:hAnsi="宋体" w:eastAsia="宋体" w:cs="宋体"/>
          <w:sz w:val="24"/>
          <w:szCs w:val="24"/>
        </w:rPr>
        <w:t>结合农房使用特点，对给排水管材、配件综合性能提出选型要求，提升农房给排水系统耐久可靠性。</w:t>
      </w:r>
    </w:p>
    <w:p w14:paraId="04CBD794">
      <w:pPr>
        <w:pStyle w:val="7"/>
        <w:rPr>
          <w:color w:val="auto"/>
        </w:rPr>
      </w:pPr>
    </w:p>
    <w:p w14:paraId="0EA4BA64">
      <w:pPr>
        <w:pStyle w:val="3"/>
        <w:snapToGrid w:val="0"/>
      </w:pPr>
      <w:bookmarkStart w:id="335" w:name="_Toc2498"/>
      <w:r>
        <w:t>6.3  </w:t>
      </w:r>
      <w:r>
        <w:rPr>
          <w:rFonts w:hint="eastAsia"/>
        </w:rPr>
        <w:t>电气及智能化设计</w:t>
      </w:r>
      <w:bookmarkEnd w:id="335"/>
    </w:p>
    <w:p w14:paraId="5C7E22C1">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color w:val="auto"/>
        </w:rPr>
      </w:pPr>
      <w:r>
        <w:rPr>
          <w:rStyle w:val="22"/>
          <w:color w:val="auto"/>
        </w:rPr>
        <w:t>6.3.1</w:t>
      </w:r>
      <w:r>
        <w:rPr>
          <w:color w:val="auto"/>
        </w:rPr>
        <w:t>  </w:t>
      </w:r>
      <w:r>
        <w:rPr>
          <w:rFonts w:hint="eastAsia"/>
          <w:color w:val="auto"/>
        </w:rPr>
        <w:t>注仓式自保温装配式农房</w:t>
      </w:r>
      <w:r>
        <w:rPr>
          <w:color w:val="auto"/>
        </w:rPr>
        <w:t>应符合现行国家标准《民用建筑电气设计标准》GB 51348、《装配式住宅建筑设计标准》</w:t>
      </w:r>
      <w:r>
        <w:rPr>
          <w:rFonts w:hint="eastAsia"/>
          <w:color w:val="auto"/>
        </w:rPr>
        <w:t>J</w:t>
      </w:r>
      <w:r>
        <w:rPr>
          <w:color w:val="auto"/>
        </w:rPr>
        <w:t>GJ/T 398、《装配式混凝土建筑技术标准》GB/T 51231、《四川省住宅设计标准》DBJ51/</w:t>
      </w:r>
      <w:r>
        <w:rPr>
          <w:rFonts w:hint="eastAsia"/>
          <w:color w:val="auto"/>
          <w:lang w:eastAsia="zh-CN"/>
        </w:rPr>
        <w:t>T 168</w:t>
      </w:r>
      <w:r>
        <w:rPr>
          <w:color w:val="auto"/>
        </w:rPr>
        <w:t>的</w:t>
      </w:r>
      <w:r>
        <w:rPr>
          <w:rFonts w:hint="eastAsia"/>
          <w:color w:val="auto"/>
        </w:rPr>
        <w:t>相关</w:t>
      </w:r>
      <w:r>
        <w:rPr>
          <w:color w:val="auto"/>
        </w:rPr>
        <w:t>规定。</w:t>
      </w:r>
    </w:p>
    <w:p w14:paraId="3B54CC76">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color w:val="auto"/>
        </w:rPr>
      </w:pPr>
      <w:r>
        <w:rPr>
          <w:rStyle w:val="22"/>
          <w:color w:val="auto"/>
        </w:rPr>
        <w:t>6.3.2</w:t>
      </w:r>
      <w:r>
        <w:rPr>
          <w:color w:val="auto"/>
        </w:rPr>
        <w:t>  </w:t>
      </w:r>
      <w:r>
        <w:rPr>
          <w:rFonts w:ascii="宋体" w:hAnsi="宋体" w:eastAsia="宋体" w:cs="宋体"/>
          <w:sz w:val="24"/>
          <w:szCs w:val="24"/>
        </w:rPr>
        <w:t>结合</w:t>
      </w:r>
      <w:r>
        <w:rPr>
          <w:rFonts w:hint="eastAsia"/>
          <w:color w:val="auto"/>
        </w:rPr>
        <w:t>注仓式自保温装配</w:t>
      </w:r>
      <w:r>
        <w:rPr>
          <w:rFonts w:hint="eastAsia"/>
          <w:color w:val="auto"/>
          <w:lang w:val="en-US" w:eastAsia="zh-CN"/>
        </w:rPr>
        <w:t>集成墙体的</w:t>
      </w:r>
      <w:r>
        <w:rPr>
          <w:rFonts w:ascii="宋体" w:hAnsi="宋体" w:eastAsia="宋体" w:cs="宋体"/>
          <w:sz w:val="24"/>
          <w:szCs w:val="24"/>
        </w:rPr>
        <w:t>特点，规范电气、智能化管线敷设路径与箱体、线盒预埋方式，保护预制构件结构性能，减少现场开孔破坏自保温构造。</w:t>
      </w:r>
    </w:p>
    <w:p w14:paraId="7D5B96A3">
      <w:pPr>
        <w:pStyle w:val="7"/>
        <w:keepNext w:val="0"/>
        <w:keepLines w:val="0"/>
        <w:pageBreakBefore w:val="0"/>
        <w:widowControl w:val="0"/>
        <w:kinsoku/>
        <w:wordWrap/>
        <w:overflowPunct/>
        <w:topLinePunct w:val="0"/>
        <w:autoSpaceDE/>
        <w:autoSpaceDN/>
        <w:bidi w:val="0"/>
        <w:adjustRightInd/>
        <w:snapToGrid/>
        <w:spacing w:after="0" w:line="360" w:lineRule="auto"/>
        <w:textAlignment w:val="auto"/>
        <w:rPr>
          <w:color w:val="auto"/>
        </w:rPr>
      </w:pPr>
      <w:r>
        <w:rPr>
          <w:rStyle w:val="22"/>
          <w:color w:val="auto"/>
        </w:rPr>
        <w:t>6.3.3</w:t>
      </w:r>
      <w:r>
        <w:rPr>
          <w:color w:val="auto"/>
        </w:rPr>
        <w:t>  </w:t>
      </w:r>
      <w:r>
        <w:rPr>
          <w:rFonts w:hint="eastAsia" w:ascii="宋体" w:hAnsi="宋体" w:cs="宋体"/>
          <w:sz w:val="24"/>
          <w:szCs w:val="24"/>
          <w:lang w:val="en-US" w:eastAsia="zh-CN"/>
        </w:rPr>
        <w:t>条文规定了</w:t>
      </w:r>
      <w:r>
        <w:rPr>
          <w:rFonts w:hint="eastAsia"/>
          <w:color w:val="auto"/>
        </w:rPr>
        <w:t>注仓式自保温装配式农房</w:t>
      </w:r>
      <w:r>
        <w:rPr>
          <w:rFonts w:ascii="宋体" w:hAnsi="宋体" w:eastAsia="宋体" w:cs="宋体"/>
          <w:sz w:val="24"/>
          <w:szCs w:val="24"/>
        </w:rPr>
        <w:t>防雷系统构造做法，充分利用</w:t>
      </w:r>
      <w:r>
        <w:rPr>
          <w:rFonts w:hint="eastAsia" w:ascii="宋体" w:hAnsi="宋体" w:cs="宋体"/>
          <w:sz w:val="24"/>
          <w:szCs w:val="24"/>
          <w:lang w:val="en-US" w:eastAsia="zh-CN"/>
        </w:rPr>
        <w:t>结构</w:t>
      </w:r>
      <w:r>
        <w:rPr>
          <w:rFonts w:ascii="宋体" w:hAnsi="宋体" w:eastAsia="宋体" w:cs="宋体"/>
          <w:sz w:val="24"/>
          <w:szCs w:val="24"/>
        </w:rPr>
        <w:t>构件钢筋实现自然防雷，落实金属外围护构件等电位联结，采用共用接地系统保障人身与设备防雷安全。</w:t>
      </w:r>
    </w:p>
    <w:p w14:paraId="6AE4602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rStyle w:val="22"/>
          <w:color w:val="auto"/>
        </w:rPr>
        <w:t>6.3.4</w:t>
      </w:r>
      <w:r>
        <w:rPr>
          <w:color w:val="auto"/>
        </w:rPr>
        <w:t>  </w:t>
      </w:r>
      <w:r>
        <w:rPr>
          <w:rFonts w:ascii="宋体" w:hAnsi="宋体" w:eastAsia="宋体" w:cs="宋体"/>
          <w:sz w:val="24"/>
          <w:szCs w:val="24"/>
        </w:rPr>
        <w:t>针对</w:t>
      </w:r>
      <w:r>
        <w:rPr>
          <w:rFonts w:hint="eastAsia"/>
          <w:color w:val="auto"/>
        </w:rPr>
        <w:t>注仓式自保温装配式农房</w:t>
      </w:r>
      <w:r>
        <w:rPr>
          <w:rFonts w:ascii="宋体" w:hAnsi="宋体" w:eastAsia="宋体" w:cs="宋体"/>
          <w:sz w:val="24"/>
          <w:szCs w:val="24"/>
        </w:rPr>
        <w:t>光伏应用提出设计控制要求，兼顾资源合理利用、并网安全与防触电保护。</w:t>
      </w:r>
    </w:p>
    <w:p w14:paraId="017B295A">
      <w:pPr>
        <w:pStyle w:val="3"/>
        <w:snapToGrid w:val="0"/>
      </w:pPr>
    </w:p>
    <w:p w14:paraId="422939E5">
      <w:pPr>
        <w:pStyle w:val="3"/>
        <w:snapToGrid w:val="0"/>
      </w:pPr>
      <w:bookmarkStart w:id="336" w:name="_Toc19073"/>
      <w:r>
        <w:t>6.4  </w:t>
      </w:r>
      <w:r>
        <w:rPr>
          <w:rFonts w:hint="eastAsia"/>
        </w:rPr>
        <w:t>暖通</w:t>
      </w:r>
      <w:r>
        <w:t>设计</w:t>
      </w:r>
      <w:bookmarkEnd w:id="333"/>
      <w:bookmarkEnd w:id="336"/>
    </w:p>
    <w:p w14:paraId="765F7471">
      <w:pPr>
        <w:pStyle w:val="7"/>
        <w:rPr>
          <w:rFonts w:ascii="华文仿宋" w:hAnsi="华文仿宋" w:eastAsia="华文仿宋"/>
        </w:rPr>
      </w:pPr>
      <w:r>
        <w:rPr>
          <w:rStyle w:val="22"/>
        </w:rPr>
        <w:t>6.4.</w:t>
      </w:r>
      <w:r>
        <w:rPr>
          <w:rStyle w:val="22"/>
          <w:rFonts w:hint="eastAsia"/>
        </w:rPr>
        <w:t>1</w:t>
      </w:r>
      <w:r>
        <w:t>  </w:t>
      </w:r>
      <w:r>
        <w:rPr>
          <w:rFonts w:hint="eastAsia" w:ascii="Times New Roman" w:hAnsi="Times New Roman" w:eastAsia="宋体" w:cs="Times New Roman"/>
          <w:kern w:val="2"/>
          <w:sz w:val="24"/>
          <w:szCs w:val="24"/>
          <w:lang w:val="en-US" w:eastAsia="zh-CN" w:bidi="ar-SA"/>
        </w:rPr>
        <w:t>根据农房功能需求及生活习性、特点，对灶、烟道、烟囱、空调通风等与建筑结合紧密的设施预留好孔洞和摆放位置，创造农房便捷实用的有利条件。</w:t>
      </w:r>
    </w:p>
    <w:p w14:paraId="782F74D0">
      <w:pPr>
        <w:pStyle w:val="7"/>
        <w:rPr>
          <w:rFonts w:ascii="华文仿宋" w:hAnsi="华文仿宋" w:eastAsia="华文仿宋"/>
        </w:rPr>
      </w:pPr>
      <w:r>
        <w:rPr>
          <w:rStyle w:val="22"/>
          <w:rFonts w:hint="eastAsia"/>
        </w:rPr>
        <w:t>6.4.2</w:t>
      </w:r>
      <w:r>
        <w:rPr>
          <w:rFonts w:hint="eastAsia" w:ascii="华文仿宋" w:hAnsi="华文仿宋" w:eastAsia="华文仿宋"/>
        </w:rPr>
        <w:t xml:space="preserve">  </w:t>
      </w:r>
      <w:r>
        <w:rPr>
          <w:rFonts w:hint="eastAsia" w:ascii="Times New Roman" w:hAnsi="Times New Roman" w:eastAsia="宋体" w:cs="Times New Roman"/>
          <w:kern w:val="2"/>
          <w:sz w:val="24"/>
          <w:szCs w:val="24"/>
          <w:lang w:val="en-US" w:eastAsia="zh-CN" w:bidi="ar-SA"/>
        </w:rPr>
        <w:t>通过合理的建筑布局、良好的建筑朝向、开窗形式等，充分利用自然风压和热压排除室内余热余湿，达到改善室内环境</w:t>
      </w:r>
      <w:r>
        <w:rPr>
          <w:rFonts w:hint="eastAsia" w:cs="Times New Roman"/>
          <w:kern w:val="2"/>
          <w:sz w:val="24"/>
          <w:szCs w:val="24"/>
          <w:lang w:val="en-US" w:eastAsia="zh-CN" w:bidi="ar-SA"/>
        </w:rPr>
        <w:t>的目的</w:t>
      </w:r>
      <w:r>
        <w:rPr>
          <w:rFonts w:hint="eastAsia" w:ascii="Times New Roman" w:hAnsi="Times New Roman" w:eastAsia="宋体" w:cs="Times New Roman"/>
          <w:kern w:val="2"/>
          <w:sz w:val="24"/>
          <w:szCs w:val="24"/>
          <w:lang w:val="en-US" w:eastAsia="zh-CN" w:bidi="ar-SA"/>
        </w:rPr>
        <w:t>。自然通风不仅远比电风扇、空调等主动控温设施节能、节费，也更符合建筑使用者的生活习惯。</w:t>
      </w:r>
    </w:p>
    <w:p w14:paraId="28A29210">
      <w:pPr>
        <w:pStyle w:val="7"/>
        <w:rPr>
          <w:rFonts w:hint="eastAsia" w:ascii="华文仿宋" w:hAnsi="华文仿宋" w:eastAsia="华文仿宋"/>
        </w:rPr>
      </w:pPr>
      <w:r>
        <w:rPr>
          <w:rStyle w:val="22"/>
          <w:rFonts w:hint="eastAsia"/>
        </w:rPr>
        <w:t>6.4.3</w:t>
      </w:r>
      <w:r>
        <w:rPr>
          <w:rFonts w:hint="eastAsia" w:ascii="华文仿宋" w:hAnsi="华文仿宋" w:eastAsia="华文仿宋"/>
        </w:rPr>
        <w:t xml:space="preserve">  </w:t>
      </w:r>
      <w:r>
        <w:rPr>
          <w:rFonts w:hint="eastAsia" w:ascii="Times New Roman" w:hAnsi="Times New Roman" w:eastAsia="宋体" w:cs="Times New Roman"/>
          <w:kern w:val="2"/>
          <w:sz w:val="24"/>
          <w:szCs w:val="24"/>
          <w:lang w:val="en-US" w:eastAsia="zh-CN" w:bidi="ar-SA"/>
        </w:rPr>
        <w:t>建筑暖通空调系统的选择应结合当地的气候特点、用能结构、经济水平、运维能力等因素综合确定，鼓励利用太阳能、空气能等可再生能源。</w:t>
      </w:r>
    </w:p>
    <w:p w14:paraId="5942A892">
      <w:pPr>
        <w:pStyle w:val="7"/>
        <w:rPr>
          <w:rFonts w:hint="eastAsia" w:ascii="华文仿宋" w:hAnsi="华文仿宋" w:eastAsia="华文仿宋"/>
        </w:rPr>
      </w:pPr>
      <w:r>
        <w:rPr>
          <w:rStyle w:val="22"/>
          <w:rFonts w:hint="eastAsia"/>
        </w:rPr>
        <w:t xml:space="preserve">6.4.4  </w:t>
      </w:r>
      <w:r>
        <w:rPr>
          <w:rFonts w:hint="eastAsia" w:ascii="Times New Roman" w:hAnsi="Times New Roman" w:eastAsia="宋体" w:cs="Times New Roman"/>
          <w:kern w:val="2"/>
          <w:sz w:val="24"/>
          <w:szCs w:val="24"/>
          <w:lang w:val="en-US" w:eastAsia="zh-CN" w:bidi="ar-SA"/>
        </w:rPr>
        <w:t>暖通设计应按照通用化、模数化、标准化的要求，以少规格、多组合的原则，实现建筑及部品部件的系列化和模块化。</w:t>
      </w:r>
    </w:p>
    <w:p w14:paraId="6D9112EB">
      <w:pPr>
        <w:pStyle w:val="7"/>
        <w:rPr>
          <w:rFonts w:hint="eastAsia" w:ascii="Times New Roman" w:hAnsi="Times New Roman" w:eastAsia="宋体" w:cs="Times New Roman"/>
          <w:kern w:val="2"/>
          <w:sz w:val="24"/>
          <w:szCs w:val="24"/>
          <w:lang w:val="en-US" w:eastAsia="zh-CN" w:bidi="ar-SA"/>
        </w:rPr>
      </w:pPr>
      <w:r>
        <w:rPr>
          <w:rFonts w:hint="eastAsia"/>
          <w:b/>
          <w:bCs/>
        </w:rPr>
        <w:t>6.4.</w:t>
      </w:r>
      <w:r>
        <w:rPr>
          <w:rFonts w:hint="eastAsia"/>
          <w:b/>
          <w:bCs/>
          <w:lang w:val="en-US" w:eastAsia="zh-CN"/>
        </w:rPr>
        <w:t>6</w:t>
      </w:r>
      <w:r>
        <w:rPr>
          <w:rFonts w:hint="eastAsia"/>
          <w:b/>
          <w:bCs/>
        </w:rPr>
        <w:t xml:space="preserve"> </w:t>
      </w:r>
      <w:r>
        <w:rPr>
          <w:rFonts w:hint="eastAsia" w:ascii="Times New Roman" w:hAnsi="Times New Roman" w:eastAsia="宋体" w:cs="Times New Roman"/>
          <w:kern w:val="2"/>
          <w:sz w:val="24"/>
          <w:szCs w:val="24"/>
          <w:lang w:val="en-US" w:eastAsia="zh-CN" w:bidi="ar-SA"/>
        </w:rPr>
        <w:t xml:space="preserve"> 厨房内热源较大，通过合理</w:t>
      </w:r>
      <w:r>
        <w:rPr>
          <w:rFonts w:hint="eastAsia" w:cs="Times New Roman"/>
          <w:kern w:val="2"/>
          <w:sz w:val="24"/>
          <w:szCs w:val="24"/>
          <w:lang w:val="en-US" w:eastAsia="zh-CN" w:bidi="ar-SA"/>
        </w:rPr>
        <w:t>地</w:t>
      </w:r>
      <w:r>
        <w:rPr>
          <w:rFonts w:hint="eastAsia" w:ascii="Times New Roman" w:hAnsi="Times New Roman" w:eastAsia="宋体" w:cs="Times New Roman"/>
          <w:kern w:val="2"/>
          <w:sz w:val="24"/>
          <w:szCs w:val="24"/>
          <w:lang w:val="en-US" w:eastAsia="zh-CN" w:bidi="ar-SA"/>
        </w:rPr>
        <w:t>设置烟囱、可开启外窗等措施，达到自然通风降温的目的。当自然通风无法满足降温和室内环境品质要求时，应设置机械排风装置。厨房和卫生间的排风道宜接至室外高点排放，排风口应避开外门窗，并</w:t>
      </w:r>
      <w:r>
        <w:rPr>
          <w:rFonts w:hint="eastAsia" w:cs="Times New Roman"/>
          <w:kern w:val="2"/>
          <w:sz w:val="24"/>
          <w:szCs w:val="24"/>
          <w:lang w:val="en-US" w:eastAsia="zh-CN" w:bidi="ar-SA"/>
        </w:rPr>
        <w:t>采取</w:t>
      </w:r>
      <w:r>
        <w:rPr>
          <w:rFonts w:hint="eastAsia" w:ascii="Times New Roman" w:hAnsi="Times New Roman" w:eastAsia="宋体" w:cs="Times New Roman"/>
          <w:kern w:val="2"/>
          <w:sz w:val="24"/>
          <w:szCs w:val="24"/>
          <w:lang w:val="en-US" w:eastAsia="zh-CN" w:bidi="ar-SA"/>
        </w:rPr>
        <w:t>避风、防雨、防墙面污染等措施。</w:t>
      </w:r>
    </w:p>
    <w:p w14:paraId="0C6BE0F7">
      <w:pPr>
        <w:pStyle w:val="7"/>
        <w:rPr>
          <w:rFonts w:hint="eastAsia"/>
        </w:rPr>
        <w:sectPr>
          <w:footerReference r:id="rId11" w:type="default"/>
          <w:pgSz w:w="11906" w:h="16838"/>
          <w:pgMar w:top="1440" w:right="1800" w:bottom="1440" w:left="1800" w:header="851" w:footer="992" w:gutter="0"/>
          <w:cols w:space="720" w:num="1"/>
          <w:docGrid w:type="lines" w:linePitch="312" w:charSpace="0"/>
        </w:sectPr>
      </w:pPr>
    </w:p>
    <w:p w14:paraId="1B55828D">
      <w:pPr>
        <w:pStyle w:val="2"/>
        <w:rPr>
          <w:rFonts w:eastAsia="宋体"/>
        </w:rPr>
      </w:pPr>
      <w:bookmarkStart w:id="337" w:name="_Toc5476"/>
      <w:bookmarkStart w:id="338" w:name="_Toc3354"/>
      <w:bookmarkStart w:id="339" w:name="_Toc16215"/>
      <w:bookmarkStart w:id="340" w:name="_Toc10997"/>
      <w:bookmarkStart w:id="341" w:name="_Toc7786"/>
      <w:bookmarkStart w:id="342" w:name="_Toc32225"/>
      <w:bookmarkStart w:id="343" w:name="_Toc1114"/>
      <w:r>
        <w:rPr>
          <w:rFonts w:hint="eastAsia"/>
          <w:lang w:val="en-US" w:eastAsia="zh-CN"/>
        </w:rPr>
        <w:t>7</w:t>
      </w:r>
      <w:r>
        <w:t xml:space="preserve">  </w:t>
      </w:r>
      <w:r>
        <w:rPr>
          <w:rFonts w:hint="eastAsia"/>
        </w:rPr>
        <w:t>施  工</w:t>
      </w:r>
      <w:bookmarkEnd w:id="337"/>
      <w:bookmarkEnd w:id="338"/>
      <w:bookmarkEnd w:id="339"/>
      <w:bookmarkEnd w:id="340"/>
      <w:bookmarkEnd w:id="341"/>
      <w:bookmarkEnd w:id="342"/>
      <w:bookmarkEnd w:id="343"/>
    </w:p>
    <w:p w14:paraId="738EC655"/>
    <w:p w14:paraId="3365DECC">
      <w:pPr>
        <w:pStyle w:val="3"/>
        <w:snapToGrid w:val="0"/>
      </w:pPr>
      <w:bookmarkStart w:id="344" w:name="_Toc27696"/>
      <w:bookmarkStart w:id="345" w:name="_Toc30436"/>
      <w:bookmarkStart w:id="346" w:name="_Toc7347"/>
      <w:bookmarkStart w:id="347" w:name="_Toc22102"/>
      <w:bookmarkStart w:id="348" w:name="_Toc4914"/>
      <w:bookmarkStart w:id="349" w:name="_Toc18856"/>
      <w:bookmarkStart w:id="350" w:name="_Toc18139"/>
      <w:r>
        <w:rPr>
          <w:rFonts w:hint="eastAsia"/>
          <w:lang w:val="en-US" w:eastAsia="zh-CN"/>
        </w:rPr>
        <w:t>7</w:t>
      </w:r>
      <w:r>
        <w:t>.1  一般规定</w:t>
      </w:r>
      <w:bookmarkEnd w:id="344"/>
      <w:bookmarkEnd w:id="345"/>
      <w:bookmarkEnd w:id="346"/>
      <w:bookmarkEnd w:id="347"/>
      <w:bookmarkEnd w:id="348"/>
      <w:bookmarkEnd w:id="349"/>
      <w:bookmarkEnd w:id="350"/>
    </w:p>
    <w:p w14:paraId="54F89A5B">
      <w:r>
        <w:rPr>
          <w:rStyle w:val="22"/>
          <w:rFonts w:hint="eastAsia"/>
          <w:lang w:val="en-US" w:eastAsia="zh-CN"/>
        </w:rPr>
        <w:t>7</w:t>
      </w:r>
      <w:r>
        <w:rPr>
          <w:rStyle w:val="22"/>
        </w:rPr>
        <w:t>.1.1</w:t>
      </w:r>
      <w:r>
        <w:t>  </w:t>
      </w:r>
      <w:r>
        <w:rPr>
          <w:rFonts w:hint="eastAsia"/>
        </w:rPr>
        <w:t>本条规定了从事注仓式自保温装配式农房建筑工程各专业施工单位的管理体系要求</w:t>
      </w:r>
      <w:r>
        <w:rPr>
          <w:rFonts w:hint="eastAsia"/>
          <w:lang w:eastAsia="zh-CN"/>
        </w:rPr>
        <w:t>，以规范市场准入制度。</w:t>
      </w:r>
      <w:r>
        <w:rPr>
          <w:rFonts w:hint="eastAsia"/>
        </w:rPr>
        <w:t>以规范市场准入制度。</w:t>
      </w:r>
    </w:p>
    <w:p w14:paraId="191EE0AC">
      <w:r>
        <w:rPr>
          <w:rStyle w:val="22"/>
          <w:rFonts w:hint="eastAsia"/>
          <w:lang w:val="en-US" w:eastAsia="zh-CN"/>
        </w:rPr>
        <w:t>7</w:t>
      </w:r>
      <w:r>
        <w:rPr>
          <w:rStyle w:val="22"/>
        </w:rPr>
        <w:t>.1.</w:t>
      </w:r>
      <w:r>
        <w:rPr>
          <w:rStyle w:val="22"/>
          <w:rFonts w:hint="eastAsia"/>
        </w:rPr>
        <w:t>2</w:t>
      </w:r>
      <w:r>
        <w:t>  </w:t>
      </w:r>
      <w:r>
        <w:rPr>
          <w:rFonts w:hint="eastAsia"/>
        </w:rPr>
        <w:t>本条规定了注仓式自保温装配式农房施工前应完成施工组织设计、专项施工方案、安全专项方案、环境保护专项方案等技术文件的编制</w:t>
      </w:r>
      <w:r>
        <w:rPr>
          <w:rFonts w:hint="eastAsia"/>
          <w:lang w:eastAsia="zh-CN"/>
        </w:rPr>
        <w:t>，</w:t>
      </w:r>
      <w:r>
        <w:rPr>
          <w:rFonts w:hint="eastAsia"/>
        </w:rPr>
        <w:t>并按规定审批论证</w:t>
      </w:r>
      <w:r>
        <w:rPr>
          <w:rFonts w:hint="eastAsia"/>
          <w:lang w:eastAsia="zh-CN"/>
        </w:rPr>
        <w:t>，以</w:t>
      </w:r>
      <w:r>
        <w:rPr>
          <w:rFonts w:hint="eastAsia"/>
        </w:rPr>
        <w:t>规范项目管理，确保安全施工、文明施工。</w:t>
      </w:r>
    </w:p>
    <w:p w14:paraId="363F1335">
      <w:r>
        <w:rPr>
          <w:rFonts w:hint="eastAsia"/>
        </w:rPr>
        <w:t>施工组织设计一般包括编制依据、工程概况、资源配置、进度计划、施工总平面布置、主要施工方案、施工质量保证措施、安全保证措施及应急预案、文明施工及环境保护措施、季节性施工措施、夜间施工措施等内容，也可以根据工程项目的具体情况对施工</w:t>
      </w:r>
      <w:r>
        <w:rPr>
          <w:rFonts w:hint="eastAsia"/>
          <w:lang w:eastAsia="zh-CN"/>
        </w:rPr>
        <w:t>组织设计编制</w:t>
      </w:r>
      <w:r>
        <w:rPr>
          <w:rFonts w:hint="eastAsia"/>
        </w:rPr>
        <w:t>内容进行取舍。编制专门的施工安全专项方案，以减少现场安全事故，规定现场安全生产要求。</w:t>
      </w:r>
    </w:p>
    <w:p w14:paraId="45E77FB3">
      <w:r>
        <w:rPr>
          <w:rFonts w:hint="eastAsia"/>
        </w:rPr>
        <w:t>现场安全主要包括结构安全、设备安全、人员安全和用火用电安全等。可参照</w:t>
      </w:r>
      <w:r>
        <w:rPr>
          <w:rFonts w:hint="eastAsia"/>
          <w:lang w:eastAsia="zh-CN"/>
        </w:rPr>
        <w:t>现行行业标准</w:t>
      </w:r>
      <w:r>
        <w:rPr>
          <w:rFonts w:hint="eastAsia"/>
        </w:rPr>
        <w:t>《建筑机械使用安全技术规程》JGJ 33、《施工现场临时用电安全技术规范》JGJ 46、《建筑施工安全</w:t>
      </w:r>
      <w:r>
        <w:rPr>
          <w:rFonts w:hint="eastAsia"/>
          <w:lang w:eastAsia="zh-CN"/>
        </w:rPr>
        <w:t>检查</w:t>
      </w:r>
      <w:r>
        <w:rPr>
          <w:rFonts w:hint="eastAsia"/>
        </w:rPr>
        <w:t>标准》JGJ 59、《建设工程施工现场环境与卫生标准》JGJ 146等的规定。</w:t>
      </w:r>
    </w:p>
    <w:p w14:paraId="09B01FBD">
      <w:r>
        <w:rPr>
          <w:rStyle w:val="22"/>
          <w:rFonts w:hint="eastAsia"/>
          <w:lang w:val="en-US" w:eastAsia="zh-CN"/>
        </w:rPr>
        <w:t>7</w:t>
      </w:r>
      <w:r>
        <w:rPr>
          <w:rStyle w:val="22"/>
        </w:rPr>
        <w:t>.1.</w:t>
      </w:r>
      <w:r>
        <w:rPr>
          <w:rStyle w:val="22"/>
          <w:rFonts w:hint="eastAsia"/>
        </w:rPr>
        <w:t>3</w:t>
      </w:r>
      <w:r>
        <w:t>  </w:t>
      </w:r>
      <w:r>
        <w:rPr>
          <w:rFonts w:hint="eastAsia"/>
        </w:rPr>
        <w:t>本条规定注仓式自保温装配式农房的施工应根据部品部件工厂化生产、现场装配化施工的特点，采用合适的安装工法，并合理安排协调好各专业工种的交叉作业</w:t>
      </w:r>
      <w:r>
        <w:rPr>
          <w:rFonts w:hint="eastAsia"/>
          <w:lang w:eastAsia="zh-CN"/>
        </w:rPr>
        <w:t>，提高</w:t>
      </w:r>
      <w:r>
        <w:rPr>
          <w:rFonts w:hint="eastAsia"/>
        </w:rPr>
        <w:t>施工效率。</w:t>
      </w:r>
    </w:p>
    <w:p w14:paraId="17D2648F">
      <w:r>
        <w:rPr>
          <w:rStyle w:val="22"/>
          <w:rFonts w:hint="eastAsia"/>
          <w:lang w:val="en-US" w:eastAsia="zh-CN"/>
        </w:rPr>
        <w:t>7</w:t>
      </w:r>
      <w:r>
        <w:rPr>
          <w:rStyle w:val="22"/>
        </w:rPr>
        <w:t>.1.</w:t>
      </w:r>
      <w:r>
        <w:rPr>
          <w:rStyle w:val="22"/>
          <w:rFonts w:hint="eastAsia"/>
        </w:rPr>
        <w:t>4</w:t>
      </w:r>
      <w:r>
        <w:t>  </w:t>
      </w:r>
      <w:r>
        <w:rPr>
          <w:rFonts w:hint="eastAsia"/>
        </w:rPr>
        <w:t>注仓式自保温装配式农房施工期间，使用的机具和工具必须进行定期检验</w:t>
      </w:r>
      <w:r>
        <w:rPr>
          <w:rFonts w:hint="eastAsia"/>
          <w:lang w:eastAsia="zh-CN"/>
        </w:rPr>
        <w:t>，保证</w:t>
      </w:r>
      <w:r>
        <w:rPr>
          <w:rFonts w:hint="eastAsia"/>
        </w:rPr>
        <w:t>达到使用要求的性能及各项指标。</w:t>
      </w:r>
    </w:p>
    <w:p w14:paraId="17799AEB">
      <w:r>
        <w:rPr>
          <w:rStyle w:val="22"/>
          <w:rFonts w:hint="eastAsia"/>
          <w:lang w:val="en-US" w:eastAsia="zh-CN"/>
        </w:rPr>
        <w:t>7</w:t>
      </w:r>
      <w:r>
        <w:rPr>
          <w:rStyle w:val="22"/>
        </w:rPr>
        <w:t>.1.</w:t>
      </w:r>
      <w:r>
        <w:rPr>
          <w:rStyle w:val="22"/>
          <w:rFonts w:hint="eastAsia"/>
        </w:rPr>
        <w:t>5</w:t>
      </w:r>
      <w:r>
        <w:t>  </w:t>
      </w:r>
      <w:r>
        <w:rPr>
          <w:rFonts w:hint="eastAsia"/>
        </w:rPr>
        <w:t>本条规定了安全、文明、绿色施工的要求。施工扬尘是最主要的大气污染源之一。施工中应采取降尘措施，降低大气总悬浮颗粒物浓度。施工中的降尘措施包括对易飞扬物质的</w:t>
      </w:r>
      <w:r>
        <w:rPr>
          <w:rFonts w:hint="eastAsia"/>
          <w:lang w:eastAsia="zh-CN"/>
        </w:rPr>
        <w:t>洒水</w:t>
      </w:r>
      <w:r>
        <w:rPr>
          <w:rFonts w:hint="eastAsia"/>
        </w:rPr>
        <w:t>、覆盖、遮挡，对出入车辆的清洗、封闭，对易产生扬尘施工工艺的降尘措施等。</w:t>
      </w:r>
    </w:p>
    <w:p w14:paraId="366C1258">
      <w:r>
        <w:rPr>
          <w:rFonts w:hint="eastAsia"/>
        </w:rPr>
        <w:t>建筑施工废弃物对环境产生较大影响，同时建筑施工废弃物的产出，也意味着资源的浪费。因此减少建筑施工废弃物的产生，涉及节地、节能、节材和保护环境这一可持续发展的综合性问题。废弃物控制应在材料采购、材料管理、施工管理的全过程实施</w:t>
      </w:r>
      <w:r>
        <w:rPr>
          <w:rFonts w:hint="eastAsia"/>
          <w:lang w:eastAsia="zh-CN"/>
        </w:rPr>
        <w:t>。</w:t>
      </w:r>
      <w:r>
        <w:rPr>
          <w:rFonts w:hint="eastAsia"/>
        </w:rPr>
        <w:t>应分类收集、集中堆放，尽量回收和再利用。施工噪声是影响周边居民生活的主要因素之一。现行国家标准《建筑施工场界环境噪声排放标准》GB 12523 是施工噪声排放管理的依据。应采取降低噪声和噪声传播的有效措施</w:t>
      </w:r>
      <w:r>
        <w:rPr>
          <w:rFonts w:hint="eastAsia"/>
          <w:lang w:eastAsia="zh-CN"/>
        </w:rPr>
        <w:t>，如</w:t>
      </w:r>
      <w:r>
        <w:rPr>
          <w:rFonts w:hint="eastAsia"/>
        </w:rPr>
        <w:t>包括采用低噪声设备，运用吸声、消声、隔声、隔振等降噪措施，降低施工机械噪声影响。</w:t>
      </w:r>
    </w:p>
    <w:p w14:paraId="4EA9A41F">
      <w:pPr>
        <w:rPr>
          <w:rFonts w:hint="eastAsia"/>
        </w:rPr>
      </w:pPr>
      <w:r>
        <w:rPr>
          <w:rStyle w:val="22"/>
          <w:rFonts w:hint="eastAsia"/>
          <w:lang w:val="en-US" w:eastAsia="zh-CN"/>
        </w:rPr>
        <w:t>7</w:t>
      </w:r>
      <w:r>
        <w:rPr>
          <w:rStyle w:val="22"/>
        </w:rPr>
        <w:t>.1.</w:t>
      </w:r>
      <w:r>
        <w:rPr>
          <w:rStyle w:val="22"/>
          <w:rFonts w:hint="eastAsia"/>
        </w:rPr>
        <w:t>6</w:t>
      </w:r>
      <w:r>
        <w:t>  </w:t>
      </w:r>
      <w:r>
        <w:rPr>
          <w:rFonts w:hint="eastAsia"/>
        </w:rPr>
        <w:t>注仓式自保温装配式农房施工应配备相关专业技术人员，施工前应对相关人员进行专业培训和技术交底。</w:t>
      </w:r>
    </w:p>
    <w:p w14:paraId="1D623D4C"/>
    <w:p w14:paraId="35EA8929">
      <w:pPr>
        <w:pStyle w:val="3"/>
        <w:snapToGrid w:val="0"/>
        <w:rPr>
          <w:rStyle w:val="22"/>
          <w:b/>
        </w:rPr>
      </w:pPr>
      <w:r>
        <w:rPr>
          <w:rFonts w:hint="eastAsia"/>
          <w:lang w:val="en-US" w:eastAsia="zh-CN"/>
        </w:rPr>
        <w:t>7</w:t>
      </w:r>
      <w:r>
        <w:t>.</w:t>
      </w:r>
      <w:r>
        <w:rPr>
          <w:rFonts w:hint="eastAsia"/>
        </w:rPr>
        <w:t>3</w:t>
      </w:r>
      <w:r>
        <w:t>  </w:t>
      </w:r>
      <w:r>
        <w:rPr>
          <w:rFonts w:hint="eastAsia"/>
        </w:rPr>
        <w:t>地基和基础施工</w:t>
      </w:r>
    </w:p>
    <w:p w14:paraId="250B4CBB">
      <w:r>
        <w:rPr>
          <w:rStyle w:val="22"/>
          <w:rFonts w:hint="eastAsia"/>
          <w:lang w:val="en-US" w:eastAsia="zh-CN"/>
        </w:rPr>
        <w:t>7</w:t>
      </w:r>
      <w:r>
        <w:rPr>
          <w:rStyle w:val="22"/>
        </w:rPr>
        <w:t>.</w:t>
      </w:r>
      <w:r>
        <w:rPr>
          <w:rStyle w:val="22"/>
          <w:rFonts w:hint="eastAsia"/>
        </w:rPr>
        <w:t>3</w:t>
      </w:r>
      <w:r>
        <w:rPr>
          <w:rStyle w:val="22"/>
        </w:rPr>
        <w:t>.</w:t>
      </w:r>
      <w:r>
        <w:rPr>
          <w:rStyle w:val="22"/>
          <w:rFonts w:hint="eastAsia"/>
        </w:rPr>
        <w:t>2</w:t>
      </w:r>
      <w:r>
        <w:t>  </w:t>
      </w:r>
      <w:r>
        <w:rPr>
          <w:rFonts w:ascii="宋体" w:hAnsi="宋体" w:eastAsia="宋体" w:cs="宋体"/>
          <w:sz w:val="24"/>
          <w:szCs w:val="24"/>
        </w:rPr>
        <w:t>农房建设场地周边常存在既有农房、围墙、管线等构筑物。基槽开挖、土方卸载、地下水变化会引起土体位移，进而造成邻近建筑沉降、开裂。施工前期应收集周边既有建筑基础形式、埋深、地基条件，评估施工扰动风险；必要时采取支护、降水控制、隔离、监测等技术措施。</w:t>
      </w:r>
    </w:p>
    <w:p w14:paraId="797D397B">
      <w:r>
        <w:rPr>
          <w:rStyle w:val="22"/>
          <w:rFonts w:hint="eastAsia"/>
          <w:lang w:val="en-US" w:eastAsia="zh-CN"/>
        </w:rPr>
        <w:t>7</w:t>
      </w:r>
      <w:r>
        <w:rPr>
          <w:rStyle w:val="22"/>
        </w:rPr>
        <w:t>.</w:t>
      </w:r>
      <w:r>
        <w:rPr>
          <w:rStyle w:val="22"/>
          <w:rFonts w:hint="eastAsia"/>
        </w:rPr>
        <w:t>3</w:t>
      </w:r>
      <w:r>
        <w:rPr>
          <w:rStyle w:val="22"/>
        </w:rPr>
        <w:t>.</w:t>
      </w:r>
      <w:r>
        <w:rPr>
          <w:rStyle w:val="22"/>
          <w:rFonts w:hint="eastAsia"/>
          <w:lang w:val="en-US" w:eastAsia="zh-CN"/>
        </w:rPr>
        <w:t>3</w:t>
      </w:r>
      <w:r>
        <w:t>  </w:t>
      </w:r>
      <w:r>
        <w:rPr>
          <w:rFonts w:ascii="宋体" w:hAnsi="宋体" w:eastAsia="宋体" w:cs="宋体"/>
          <w:sz w:val="24"/>
          <w:szCs w:val="24"/>
        </w:rPr>
        <w:t>保证基础轴线、标高准确，防止控制点被破坏、位移</w:t>
      </w:r>
      <w:r>
        <w:rPr>
          <w:rFonts w:hint="eastAsia" w:ascii="宋体" w:hAnsi="宋体" w:cs="宋体"/>
          <w:sz w:val="24"/>
          <w:szCs w:val="24"/>
          <w:lang w:eastAsia="zh-CN"/>
        </w:rPr>
        <w:t>，造成</w:t>
      </w:r>
      <w:r>
        <w:rPr>
          <w:rFonts w:ascii="宋体" w:hAnsi="宋体" w:eastAsia="宋体" w:cs="宋体"/>
          <w:sz w:val="24"/>
          <w:szCs w:val="24"/>
        </w:rPr>
        <w:t>基础定位、标高出现系统性偏差。</w:t>
      </w:r>
    </w:p>
    <w:p w14:paraId="312B78C2">
      <w:r>
        <w:rPr>
          <w:rStyle w:val="22"/>
          <w:rFonts w:hint="eastAsia"/>
          <w:lang w:val="en-US" w:eastAsia="zh-CN"/>
        </w:rPr>
        <w:t>7</w:t>
      </w:r>
      <w:r>
        <w:rPr>
          <w:rStyle w:val="22"/>
        </w:rPr>
        <w:t>.</w:t>
      </w:r>
      <w:r>
        <w:rPr>
          <w:rStyle w:val="22"/>
          <w:rFonts w:hint="eastAsia"/>
        </w:rPr>
        <w:t>3</w:t>
      </w:r>
      <w:r>
        <w:rPr>
          <w:rStyle w:val="22"/>
        </w:rPr>
        <w:t>.</w:t>
      </w:r>
      <w:r>
        <w:rPr>
          <w:rStyle w:val="22"/>
          <w:rFonts w:hint="eastAsia"/>
          <w:lang w:val="en-US" w:eastAsia="zh-CN"/>
        </w:rPr>
        <w:t>5</w:t>
      </w:r>
      <w:r>
        <w:t>  </w:t>
      </w:r>
      <w:r>
        <w:rPr>
          <w:rFonts w:hint="eastAsia"/>
          <w:lang w:val="en-US" w:eastAsia="zh-CN"/>
        </w:rPr>
        <w:t>严格</w:t>
      </w:r>
      <w:r>
        <w:rPr>
          <w:rFonts w:ascii="宋体" w:hAnsi="宋体" w:eastAsia="宋体" w:cs="宋体"/>
          <w:sz w:val="24"/>
          <w:szCs w:val="24"/>
        </w:rPr>
        <w:t>控制冬期地基基础施工质量，防止地基土冻胀、回填土体后期融沉，保障基础工程质量。</w:t>
      </w:r>
    </w:p>
    <w:p w14:paraId="7A9FF837">
      <w:r>
        <w:rPr>
          <w:rStyle w:val="22"/>
          <w:rFonts w:hint="eastAsia"/>
          <w:lang w:val="en-US" w:eastAsia="zh-CN"/>
        </w:rPr>
        <w:t>7</w:t>
      </w:r>
      <w:r>
        <w:rPr>
          <w:rStyle w:val="22"/>
        </w:rPr>
        <w:t>.</w:t>
      </w:r>
      <w:r>
        <w:rPr>
          <w:rStyle w:val="22"/>
          <w:rFonts w:hint="eastAsia"/>
        </w:rPr>
        <w:t>3</w:t>
      </w:r>
      <w:r>
        <w:rPr>
          <w:rStyle w:val="22"/>
        </w:rPr>
        <w:t>.</w:t>
      </w:r>
      <w:r>
        <w:rPr>
          <w:rStyle w:val="22"/>
          <w:rFonts w:hint="eastAsia"/>
          <w:lang w:val="en-US" w:eastAsia="zh-CN"/>
        </w:rPr>
        <w:t>6</w:t>
      </w:r>
      <w:r>
        <w:t>  </w:t>
      </w:r>
      <w:r>
        <w:rPr>
          <w:rFonts w:ascii="宋体" w:hAnsi="宋体" w:eastAsia="宋体" w:cs="宋体"/>
          <w:sz w:val="24"/>
          <w:szCs w:val="24"/>
        </w:rPr>
        <w:t>针对基槽验槽阶段遇到的地下空洞、软弱坑塘以及地下文物情况，明确处置原则，消除地基隐患，落实文物保护要求。</w:t>
      </w:r>
    </w:p>
    <w:p w14:paraId="4DE3C24E"/>
    <w:p w14:paraId="799D1B41">
      <w:pPr>
        <w:pStyle w:val="3"/>
        <w:snapToGrid w:val="0"/>
      </w:pPr>
      <w:bookmarkStart w:id="351" w:name="_Toc15080"/>
      <w:bookmarkStart w:id="352" w:name="_Toc2711"/>
      <w:bookmarkStart w:id="353" w:name="_Toc25199"/>
      <w:bookmarkStart w:id="354" w:name="_Toc4551"/>
      <w:bookmarkStart w:id="355" w:name="_Toc27838"/>
      <w:bookmarkStart w:id="356" w:name="_Toc18716"/>
      <w:bookmarkStart w:id="357" w:name="_Toc10081"/>
      <w:r>
        <w:rPr>
          <w:rFonts w:hint="eastAsia"/>
          <w:lang w:val="en-US" w:eastAsia="zh-CN"/>
        </w:rPr>
        <w:t>7</w:t>
      </w:r>
      <w:r>
        <w:t>.</w:t>
      </w:r>
      <w:r>
        <w:rPr>
          <w:rFonts w:hint="eastAsia"/>
        </w:rPr>
        <w:t>4</w:t>
      </w:r>
      <w:r>
        <w:t>  </w:t>
      </w:r>
      <w:r>
        <w:rPr>
          <w:rFonts w:hint="eastAsia"/>
        </w:rPr>
        <w:t>墙体施工</w:t>
      </w:r>
      <w:bookmarkEnd w:id="351"/>
      <w:bookmarkEnd w:id="352"/>
      <w:bookmarkEnd w:id="353"/>
      <w:bookmarkEnd w:id="354"/>
      <w:bookmarkEnd w:id="355"/>
      <w:bookmarkEnd w:id="356"/>
      <w:bookmarkEnd w:id="357"/>
    </w:p>
    <w:p w14:paraId="3E03634A">
      <w:pPr>
        <w:snapToGrid w:val="0"/>
      </w:pPr>
      <w:r>
        <w:rPr>
          <w:rStyle w:val="22"/>
          <w:rFonts w:hint="eastAsia"/>
          <w:lang w:val="en-US" w:eastAsia="zh-CN"/>
        </w:rPr>
        <w:t>7</w:t>
      </w:r>
      <w:r>
        <w:rPr>
          <w:rStyle w:val="22"/>
        </w:rPr>
        <w:t>.</w:t>
      </w:r>
      <w:r>
        <w:rPr>
          <w:rStyle w:val="22"/>
          <w:rFonts w:hint="eastAsia"/>
        </w:rPr>
        <w:t>4</w:t>
      </w:r>
      <w:r>
        <w:rPr>
          <w:rStyle w:val="22"/>
        </w:rPr>
        <w:t>.</w:t>
      </w:r>
      <w:r>
        <w:rPr>
          <w:rStyle w:val="22"/>
          <w:rFonts w:hint="eastAsia"/>
        </w:rPr>
        <w:t>3</w:t>
      </w:r>
      <w:r>
        <w:rPr>
          <w:rStyle w:val="22"/>
        </w:rPr>
        <w:t xml:space="preserve">  </w:t>
      </w:r>
      <w:r>
        <w:t>本条规定了</w:t>
      </w:r>
      <w:r>
        <w:rPr>
          <w:rFonts w:hint="eastAsia"/>
        </w:rPr>
        <w:t>注仓式自保温装配集成墙体</w:t>
      </w:r>
      <w:r>
        <w:t>的施工流程。测量放线时应标出墙框线和连接件定位线</w:t>
      </w:r>
      <w:r>
        <w:rPr>
          <w:rFonts w:hint="eastAsia"/>
          <w:lang w:eastAsia="zh-CN"/>
        </w:rPr>
        <w:t>，</w:t>
      </w:r>
      <w:r>
        <w:t>标出每块</w:t>
      </w:r>
      <w:r>
        <w:rPr>
          <w:rFonts w:hint="eastAsia"/>
        </w:rPr>
        <w:t>面板</w:t>
      </w:r>
      <w:r>
        <w:t>安装的位置、门窗洞口位置，放线应清晰，位置应准确。</w:t>
      </w:r>
    </w:p>
    <w:p w14:paraId="15ECC366">
      <w:pPr>
        <w:pStyle w:val="7"/>
        <w:keepNext w:val="0"/>
        <w:keepLines w:val="0"/>
        <w:pageBreakBefore w:val="0"/>
        <w:widowControl w:val="0"/>
        <w:kinsoku/>
        <w:wordWrap/>
        <w:overflowPunct/>
        <w:topLinePunct w:val="0"/>
        <w:autoSpaceDE/>
        <w:autoSpaceDN/>
        <w:bidi w:val="0"/>
        <w:adjustRightInd/>
        <w:spacing w:after="0"/>
        <w:textAlignment w:val="auto"/>
      </w:pPr>
      <w:r>
        <w:rPr>
          <w:rStyle w:val="22"/>
          <w:rFonts w:hint="eastAsia"/>
          <w:lang w:val="en-US" w:eastAsia="zh-CN"/>
        </w:rPr>
        <w:t>7</w:t>
      </w:r>
      <w:r>
        <w:rPr>
          <w:rStyle w:val="22"/>
        </w:rPr>
        <w:t>.</w:t>
      </w:r>
      <w:r>
        <w:rPr>
          <w:rStyle w:val="22"/>
          <w:rFonts w:hint="eastAsia"/>
        </w:rPr>
        <w:t>4</w:t>
      </w:r>
      <w:r>
        <w:rPr>
          <w:rStyle w:val="22"/>
        </w:rPr>
        <w:t>.</w:t>
      </w:r>
      <w:r>
        <w:rPr>
          <w:rStyle w:val="22"/>
          <w:rFonts w:hint="eastAsia"/>
          <w:lang w:val="en-US" w:eastAsia="zh-CN"/>
        </w:rPr>
        <w:t>4</w:t>
      </w:r>
      <w:r>
        <w:rPr>
          <w:rStyle w:val="22"/>
        </w:rPr>
        <w:t xml:space="preserve">  </w:t>
      </w:r>
      <w:r>
        <w:rPr>
          <w:rFonts w:ascii="宋体" w:hAnsi="宋体" w:eastAsia="宋体" w:cs="宋体"/>
          <w:sz w:val="24"/>
          <w:szCs w:val="24"/>
        </w:rPr>
        <w:t>受环境温度变化、材料干缩、结构轻微位移影响，</w:t>
      </w:r>
      <w:r>
        <w:rPr>
          <w:rFonts w:hint="eastAsia" w:ascii="宋体" w:hAnsi="宋体" w:cs="宋体"/>
          <w:sz w:val="24"/>
          <w:szCs w:val="24"/>
          <w:lang w:val="en-US" w:eastAsia="zh-CN"/>
        </w:rPr>
        <w:t>界面缝</w:t>
      </w:r>
      <w:r>
        <w:rPr>
          <w:rFonts w:ascii="宋体" w:hAnsi="宋体" w:eastAsia="宋体" w:cs="宋体"/>
          <w:sz w:val="24"/>
          <w:szCs w:val="24"/>
        </w:rPr>
        <w:t>极易出现硬性开裂。刚性勾缝材料无法适应接缝变形，开裂之后会造成雨水渗透、气密性能下降、形成贯通式热桥，降低墙体保温效果。因此</w:t>
      </w:r>
      <w:r>
        <w:rPr>
          <w:rFonts w:hint="eastAsia" w:ascii="宋体" w:hAnsi="宋体" w:cs="宋体"/>
          <w:sz w:val="24"/>
          <w:szCs w:val="24"/>
          <w:lang w:eastAsia="zh-CN"/>
        </w:rPr>
        <w:t>，面板</w:t>
      </w:r>
      <w:r>
        <w:rPr>
          <w:rFonts w:ascii="宋体" w:hAnsi="宋体" w:eastAsia="宋体" w:cs="宋体"/>
          <w:sz w:val="24"/>
          <w:szCs w:val="24"/>
        </w:rPr>
        <w:t>界面缝优先选用具备形变能力的柔性填充材料。</w:t>
      </w:r>
      <w:r>
        <w:rPr>
          <w:rFonts w:hint="eastAsia"/>
        </w:rPr>
        <w:br w:type="page"/>
      </w:r>
    </w:p>
    <w:p w14:paraId="02ADFF3C">
      <w:pPr>
        <w:pStyle w:val="2"/>
      </w:pPr>
      <w:bookmarkStart w:id="358" w:name="_Toc31862"/>
      <w:bookmarkStart w:id="359" w:name="_Toc26129"/>
      <w:bookmarkStart w:id="360" w:name="_Toc14773"/>
      <w:bookmarkStart w:id="361" w:name="_Toc31602"/>
      <w:bookmarkStart w:id="362" w:name="_Toc29853"/>
      <w:bookmarkStart w:id="363" w:name="_Toc12885"/>
      <w:bookmarkStart w:id="364" w:name="_Toc23350"/>
      <w:r>
        <w:rPr>
          <w:rFonts w:hint="eastAsia"/>
          <w:lang w:val="en-US" w:eastAsia="zh-CN"/>
        </w:rPr>
        <w:t>8</w:t>
      </w:r>
      <w:r>
        <w:t xml:space="preserve">  </w:t>
      </w:r>
      <w:r>
        <w:rPr>
          <w:rFonts w:hint="eastAsia"/>
        </w:rPr>
        <w:t>验  收</w:t>
      </w:r>
      <w:bookmarkEnd w:id="358"/>
      <w:bookmarkEnd w:id="359"/>
      <w:bookmarkEnd w:id="360"/>
      <w:bookmarkEnd w:id="361"/>
      <w:bookmarkEnd w:id="362"/>
      <w:bookmarkEnd w:id="363"/>
      <w:bookmarkEnd w:id="364"/>
    </w:p>
    <w:p w14:paraId="4CCDE545">
      <w:r>
        <w:rPr>
          <w:rStyle w:val="22"/>
          <w:rFonts w:hint="eastAsia"/>
          <w:lang w:val="en-US" w:eastAsia="zh-CN"/>
        </w:rPr>
        <w:t>8</w:t>
      </w:r>
      <w:r>
        <w:rPr>
          <w:rStyle w:val="22"/>
          <w:rFonts w:hint="eastAsia"/>
        </w:rPr>
        <w:t>.0.1</w:t>
      </w:r>
      <w:r>
        <w:rPr>
          <w:rFonts w:hint="eastAsia"/>
        </w:rPr>
        <w:t xml:space="preserve">  注仓式自保温装配式农房建筑的分部工程和分项工程的划分按现行国家标准《建筑工程施工质量验收统一标准》GB 50300，各分部分项工程施工质量验收标准应符合下列标准要求： </w:t>
      </w:r>
    </w:p>
    <w:p w14:paraId="26FC7ACD">
      <w:pPr>
        <w:ind w:firstLine="482" w:firstLineChars="200"/>
      </w:pPr>
      <w:r>
        <w:rPr>
          <w:b/>
          <w:bCs/>
        </w:rPr>
        <w:t>1</w:t>
      </w:r>
      <w:r>
        <w:t xml:space="preserve"> </w:t>
      </w:r>
      <w:r>
        <w:rPr>
          <w:rFonts w:hint="eastAsia"/>
        </w:rPr>
        <w:t xml:space="preserve"> 基础工程应符合现行国家标准《建筑地基基础工程施工质量验收规范》GB 50202、《混凝土结构工程施工质量验收规范》GB 50204的规定。 </w:t>
      </w:r>
    </w:p>
    <w:p w14:paraId="1D86F4C3">
      <w:pPr>
        <w:ind w:firstLine="482" w:firstLineChars="200"/>
      </w:pPr>
      <w:r>
        <w:rPr>
          <w:rFonts w:hint="eastAsia"/>
          <w:b/>
          <w:bCs/>
        </w:rPr>
        <w:t>2</w:t>
      </w:r>
      <w:r>
        <w:t xml:space="preserve"> </w:t>
      </w:r>
      <w:r>
        <w:rPr>
          <w:rFonts w:hint="eastAsia"/>
        </w:rPr>
        <w:t xml:space="preserve"> 主体结构应符合现行国家标准《混凝土结构工程施工质量验收规范》GB 50204和《钢结构工程施工质量验收标准》GB 50205的规定。  </w:t>
      </w:r>
    </w:p>
    <w:p w14:paraId="71FBCDB0">
      <w:pPr>
        <w:ind w:firstLine="482" w:firstLineChars="200"/>
      </w:pPr>
      <w:r>
        <w:rPr>
          <w:rFonts w:hint="eastAsia"/>
          <w:b/>
          <w:bCs/>
        </w:rPr>
        <w:t>3</w:t>
      </w:r>
      <w:r>
        <w:t xml:space="preserve"> </w:t>
      </w:r>
      <w:r>
        <w:rPr>
          <w:rFonts w:hint="eastAsia"/>
        </w:rPr>
        <w:t xml:space="preserve"> 建筑节能应符合现行国家标准</w:t>
      </w:r>
      <w:r>
        <w:rPr>
          <w:rFonts w:hint="eastAsia"/>
          <w:lang w:eastAsia="zh-CN"/>
        </w:rPr>
        <w:t>《建筑节能工程施工质量验收标准》GB 50411</w:t>
      </w:r>
      <w:r>
        <w:rPr>
          <w:rFonts w:hint="eastAsia"/>
        </w:rPr>
        <w:t xml:space="preserve"> 的规定。 </w:t>
      </w:r>
    </w:p>
    <w:p w14:paraId="10BB7C3A">
      <w:pPr>
        <w:ind w:firstLine="482" w:firstLineChars="200"/>
      </w:pPr>
      <w:r>
        <w:rPr>
          <w:rFonts w:hint="eastAsia"/>
          <w:b/>
          <w:bCs/>
        </w:rPr>
        <w:t>4</w:t>
      </w:r>
      <w:r>
        <w:t xml:space="preserve"> </w:t>
      </w:r>
      <w:r>
        <w:rPr>
          <w:rFonts w:hint="eastAsia"/>
        </w:rPr>
        <w:t xml:space="preserve"> 注仓式自保温装配集成墙体应符合现行地方标准《四川省注仓式自保温装配集成墙体应用技术标准》DBJ51/T 272和现行团体标准《注仓式装配复合轻质墙体应用技术标准》T/ASC 53、T/CCES 54。 </w:t>
      </w:r>
    </w:p>
    <w:p w14:paraId="6FF57CC3">
      <w:pPr>
        <w:ind w:firstLine="482" w:firstLineChars="200"/>
      </w:pPr>
      <w:r>
        <w:rPr>
          <w:rFonts w:hint="eastAsia"/>
          <w:b/>
          <w:bCs/>
        </w:rPr>
        <w:t>5</w:t>
      </w:r>
      <w:r>
        <w:t xml:space="preserve"> </w:t>
      </w:r>
      <w:r>
        <w:rPr>
          <w:rFonts w:hint="eastAsia"/>
        </w:rPr>
        <w:t xml:space="preserve"> 其他分部工程应符合相关的国家标准、行业标准和四川省地方标准的规定。</w:t>
      </w:r>
    </w:p>
    <w:p w14:paraId="46AFAF36">
      <w:r>
        <w:rPr>
          <w:rStyle w:val="22"/>
          <w:rFonts w:hint="eastAsia"/>
          <w:lang w:val="en-US" w:eastAsia="zh-CN"/>
        </w:rPr>
        <w:t>8</w:t>
      </w:r>
      <w:r>
        <w:rPr>
          <w:rStyle w:val="22"/>
          <w:rFonts w:hint="eastAsia"/>
        </w:rPr>
        <w:t>.0.3</w:t>
      </w:r>
      <w:r>
        <w:rPr>
          <w:rFonts w:hint="eastAsia"/>
        </w:rPr>
        <w:t>  根据现行国家标准《建筑工程施工质量验收统一标准》</w:t>
      </w:r>
      <w:r>
        <w:rPr>
          <w:rFonts w:hint="eastAsia"/>
          <w:lang w:eastAsia="zh-CN"/>
        </w:rPr>
        <w:t>GB 50300规定</w:t>
      </w:r>
      <w:r>
        <w:rPr>
          <w:rFonts w:hint="eastAsia"/>
        </w:rPr>
        <w:t>检验批合格质量的有关要求。</w:t>
      </w:r>
    </w:p>
    <w:p w14:paraId="162A00EF"/>
    <w:p w14:paraId="15EE7840"/>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AFE122-A858-4401-BC2E-80FC2C4F13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2" w:fontKey="{E9AD8CD9-55B9-4EE7-A133-2881178C2D44}"/>
  </w:font>
  <w:font w:name="华文中宋">
    <w:panose1 w:val="02010600040101010101"/>
    <w:charset w:val="86"/>
    <w:family w:val="auto"/>
    <w:pitch w:val="default"/>
    <w:sig w:usb0="00000287" w:usb1="080F0000" w:usb2="00000000" w:usb3="00000000" w:csb0="0004009F" w:csb1="DFD70000"/>
    <w:embedRegular r:id="rId3" w:fontKey="{DB76E20B-E62C-4D76-BC57-6CBDD12C3313}"/>
  </w:font>
  <w:font w:name="华文仿宋">
    <w:panose1 w:val="02010600040101010101"/>
    <w:charset w:val="86"/>
    <w:family w:val="auto"/>
    <w:pitch w:val="default"/>
    <w:sig w:usb0="00000287" w:usb1="080F0000" w:usb2="00000000" w:usb3="00000000" w:csb0="0004009F" w:csb1="DFD70000"/>
    <w:embedRegular r:id="rId4" w:fontKey="{49D6F8F0-4A96-4F39-B21E-88193575FA82}"/>
  </w:font>
  <w:font w:name="楷体">
    <w:panose1 w:val="02010609060101010101"/>
    <w:charset w:val="86"/>
    <w:family w:val="modern"/>
    <w:pitch w:val="default"/>
    <w:sig w:usb0="800002BF" w:usb1="38CF7CFA" w:usb2="00000016" w:usb3="00000000" w:csb0="00040001" w:csb1="00000000"/>
    <w:embedRegular r:id="rId5" w:fontKey="{9EFEF35B-0CD5-4406-8C7C-848D4AD49A7A}"/>
  </w:font>
  <w:font w:name="Cambria Math">
    <w:panose1 w:val="02040503050406030204"/>
    <w:charset w:val="00"/>
    <w:family w:val="roman"/>
    <w:pitch w:val="default"/>
    <w:sig w:usb0="E00006FF" w:usb1="420024FF" w:usb2="02000000" w:usb3="00000000" w:csb0="2000019F" w:csb1="00000000"/>
    <w:embedRegular r:id="rId6" w:fontKey="{45BE4798-B1DD-4281-85A5-E2B038ADF0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8266B">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85999">
    <w:pPr>
      <w:tabs>
        <w:tab w:val="center" w:pos="4153"/>
        <w:tab w:val="right" w:pos="8306"/>
      </w:tabs>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98C9A">
    <w:pPr>
      <w:tabs>
        <w:tab w:val="center" w:pos="4153"/>
        <w:tab w:val="right" w:pos="8306"/>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6552742">
                          <w:pPr>
                            <w:tabs>
                              <w:tab w:val="center" w:pos="4153"/>
                              <w:tab w:val="right" w:pos="8306"/>
                            </w:tabs>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zAkvEz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zAkvEzAgAAZQQAAA4AAAAAAAAAAQAgAAAAHwEAAGRycy9lMm9Eb2MueG1sUEsF&#10;BgAAAAAGAAYAWQEAAMQFAAAAAA==&#10;">
              <v:fill on="f" focussize="0,0"/>
              <v:stroke on="f" weight="0.5pt"/>
              <v:imagedata o:title=""/>
              <o:lock v:ext="edit" aspectratio="f"/>
              <v:textbox inset="0mm,0mm,0mm,0mm" style="mso-fit-shape-to-text:t;">
                <w:txbxContent>
                  <w:p w14:paraId="76552742">
                    <w:pPr>
                      <w:tabs>
                        <w:tab w:val="center" w:pos="4153"/>
                        <w:tab w:val="right" w:pos="8306"/>
                      </w:tabs>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D556B">
    <w:pPr>
      <w:tabs>
        <w:tab w:val="center" w:pos="4153"/>
        <w:tab w:val="right" w:pos="8306"/>
      </w:tabs>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17C810">
                          <w:pPr>
                            <w:pStyle w:val="9"/>
                            <w:rPr>
                              <w:rFonts w:hint="default" w:eastAsia="宋体"/>
                              <w:sz w:val="24"/>
                              <w:szCs w:val="24"/>
                              <w:lang w:val="en-US" w:eastAsia="zh-CN"/>
                            </w:rPr>
                          </w:pPr>
                          <w:r>
                            <w:rPr>
                              <w:rFonts w:hint="eastAsia"/>
                              <w:lang w:val="en-US" w:eastAsia="zh-CN"/>
                            </w:rPr>
                            <w:t>2</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17C810">
                    <w:pPr>
                      <w:pStyle w:val="9"/>
                      <w:rPr>
                        <w:rFonts w:hint="default" w:eastAsia="宋体"/>
                        <w:sz w:val="24"/>
                        <w:szCs w:val="24"/>
                        <w:lang w:val="en-US" w:eastAsia="zh-CN"/>
                      </w:rPr>
                    </w:pPr>
                    <w:r>
                      <w:rPr>
                        <w:rFonts w:hint="eastAsia"/>
                        <w:lang w:val="en-US" w:eastAsia="zh-CN"/>
                      </w:rPr>
                      <w:t>2</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6362286" name="文本框 12463622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9708FB3"/>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zSVju0AAAAAUBAAAPAAAAAAAAAAEAIAAAACIAAABkcnMvZG93bnJldi54&#10;bWxQSwECFAAUAAAACACHTuJA0w93BjsCAAB1BAAADgAAAAAAAAABACAAAAAfAQAAZHJzL2Uyb0Rv&#10;Yy54bWxQSwUGAAAAAAYABgBZAQAAzAUAAAAA&#10;">
              <v:fill on="f" focussize="0,0"/>
              <v:stroke on="f" weight="0.5pt"/>
              <v:imagedata o:title=""/>
              <o:lock v:ext="edit" aspectratio="f"/>
              <v:textbox inset="0mm,0mm,0mm,0mm" style="mso-fit-shape-to-text:t;">
                <w:txbxContent>
                  <w:p w14:paraId="59708FB3"/>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06BD3">
    <w:pPr>
      <w:tabs>
        <w:tab w:val="center" w:pos="4153"/>
        <w:tab w:val="right" w:pos="8306"/>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EB7A46">
                          <w:pPr>
                            <w:tabs>
                              <w:tab w:val="center" w:pos="4153"/>
                              <w:tab w:val="right" w:pos="8306"/>
                            </w:tabs>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7</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jEGUzAgAAZ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SE2bMs&#10;bPWj5RE6yuPt6hAgZ1I5itIpge7EA6Yv9anflDjef55T1NO/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jEGUzAgAAZQQAAA4AAAAAAAAAAQAgAAAAHwEAAGRycy9lMm9Eb2MueG1sUEsF&#10;BgAAAAAGAAYAWQEAAMQFAAAAAA==&#10;">
              <v:fill on="f" focussize="0,0"/>
              <v:stroke on="f" weight="0.5pt"/>
              <v:imagedata o:title=""/>
              <o:lock v:ext="edit" aspectratio="f"/>
              <v:textbox inset="0mm,0mm,0mm,0mm" style="mso-fit-shape-to-text:t;">
                <w:txbxContent>
                  <w:p w14:paraId="6EEB7A46">
                    <w:pPr>
                      <w:tabs>
                        <w:tab w:val="center" w:pos="4153"/>
                        <w:tab w:val="right" w:pos="8306"/>
                      </w:tabs>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7</w:t>
                    </w:r>
                    <w:r>
                      <w:rPr>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CC261">
    <w:pPr>
      <w:tabs>
        <w:tab w:val="center" w:pos="4153"/>
        <w:tab w:val="right"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FEB3DB8">
                          <w:pPr>
                            <w:tabs>
                              <w:tab w:val="center" w:pos="4153"/>
                              <w:tab w:val="right" w:pos="8306"/>
                            </w:tabs>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Yp0OszAgAAZQQAAA4AAABkcnMvZTJvRG9jLnhtbK1UzY7TMBC+I/EO&#10;lu80aRFL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Yp0OszAgAAZQQAAA4AAAAAAAAAAQAgAAAAHwEAAGRycy9lMm9Eb2MueG1sUEsF&#10;BgAAAAAGAAYAWQEAAMQFAAAAAA==&#10;">
              <v:fill on="f" focussize="0,0"/>
              <v:stroke on="f" weight="0.5pt"/>
              <v:imagedata o:title=""/>
              <o:lock v:ext="edit" aspectratio="f"/>
              <v:textbox inset="0mm,0mm,0mm,0mm" style="mso-fit-shape-to-text:t;">
                <w:txbxContent>
                  <w:p w14:paraId="7FEB3DB8">
                    <w:pPr>
                      <w:tabs>
                        <w:tab w:val="center" w:pos="4153"/>
                        <w:tab w:val="right" w:pos="8306"/>
                      </w:tabs>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31ED8">
    <w:pPr>
      <w:tabs>
        <w:tab w:val="center" w:pos="4153"/>
        <w:tab w:val="right"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4DA7AF0">
                          <w:pPr>
                            <w:tabs>
                              <w:tab w:val="center" w:pos="4153"/>
                              <w:tab w:val="right" w:pos="8306"/>
                            </w:tabs>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LWczAgAAZQQAAA4AAABkcnMvZTJvRG9jLnhtbK1UzY7TMBC+I/EO&#10;lu80aYFV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Ks3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Iwe5aF&#10;W72xPEJHebxd7gPkTCpHUXol0J14wPSlPp03JY73n+cU9fD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SLWczAgAAZQQAAA4AAAAAAAAAAQAgAAAAHwEAAGRycy9lMm9Eb2MueG1sUEsF&#10;BgAAAAAGAAYAWQEAAMQFAAAAAA==&#10;">
              <v:fill on="f" focussize="0,0"/>
              <v:stroke on="f" weight="0.5pt"/>
              <v:imagedata o:title=""/>
              <o:lock v:ext="edit" aspectratio="f"/>
              <v:textbox inset="0mm,0mm,0mm,0mm" style="mso-fit-shape-to-text:t;">
                <w:txbxContent>
                  <w:p w14:paraId="44DA7AF0">
                    <w:pPr>
                      <w:tabs>
                        <w:tab w:val="center" w:pos="4153"/>
                        <w:tab w:val="right" w:pos="8306"/>
                      </w:tabs>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C5738D"/>
    <w:multiLevelType w:val="singleLevel"/>
    <w:tmpl w:val="40C5738D"/>
    <w:lvl w:ilvl="0" w:tentative="0">
      <w:start w:val="1"/>
      <w:numFmt w:val="decimal"/>
      <w:lvlText w:val="%1"/>
      <w:lvlJc w:val="left"/>
      <w:pPr>
        <w:tabs>
          <w:tab w:val="left" w:pos="397"/>
        </w:tabs>
        <w:ind w:left="454" w:hanging="454"/>
      </w:pPr>
      <w:rPr>
        <w:rFonts w:hint="default"/>
        <w:b/>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EyOGU1OGEyMWFjMmUyYmVmMjgxNDNjZDJmMGFiNGIifQ=="/>
  </w:docVars>
  <w:rsids>
    <w:rsidRoot w:val="16AB01D2"/>
    <w:rsid w:val="00010E05"/>
    <w:rsid w:val="0001541E"/>
    <w:rsid w:val="00021AEE"/>
    <w:rsid w:val="00047A47"/>
    <w:rsid w:val="00051592"/>
    <w:rsid w:val="00061EE7"/>
    <w:rsid w:val="00064503"/>
    <w:rsid w:val="0006741A"/>
    <w:rsid w:val="00067D9A"/>
    <w:rsid w:val="00070A9B"/>
    <w:rsid w:val="00071CB8"/>
    <w:rsid w:val="00073259"/>
    <w:rsid w:val="00075337"/>
    <w:rsid w:val="000832B4"/>
    <w:rsid w:val="00090073"/>
    <w:rsid w:val="00091410"/>
    <w:rsid w:val="000917C3"/>
    <w:rsid w:val="000A20D2"/>
    <w:rsid w:val="000A7A54"/>
    <w:rsid w:val="000B3D5B"/>
    <w:rsid w:val="000B777F"/>
    <w:rsid w:val="000D5FC7"/>
    <w:rsid w:val="000D78A9"/>
    <w:rsid w:val="000D7C92"/>
    <w:rsid w:val="000F6D92"/>
    <w:rsid w:val="00112E97"/>
    <w:rsid w:val="00117160"/>
    <w:rsid w:val="00120746"/>
    <w:rsid w:val="0013228A"/>
    <w:rsid w:val="001322F4"/>
    <w:rsid w:val="0013748D"/>
    <w:rsid w:val="00141101"/>
    <w:rsid w:val="001447CD"/>
    <w:rsid w:val="00152083"/>
    <w:rsid w:val="00154FAA"/>
    <w:rsid w:val="001601ED"/>
    <w:rsid w:val="00165CA1"/>
    <w:rsid w:val="00170705"/>
    <w:rsid w:val="00171483"/>
    <w:rsid w:val="00176FAA"/>
    <w:rsid w:val="00184EFA"/>
    <w:rsid w:val="001B07C3"/>
    <w:rsid w:val="001B1158"/>
    <w:rsid w:val="001B293E"/>
    <w:rsid w:val="001B7410"/>
    <w:rsid w:val="001C27D6"/>
    <w:rsid w:val="001C77AD"/>
    <w:rsid w:val="001D360B"/>
    <w:rsid w:val="001D3726"/>
    <w:rsid w:val="001D7623"/>
    <w:rsid w:val="001E77BC"/>
    <w:rsid w:val="001F779E"/>
    <w:rsid w:val="001F7A53"/>
    <w:rsid w:val="00225FA2"/>
    <w:rsid w:val="00227CB9"/>
    <w:rsid w:val="00235A16"/>
    <w:rsid w:val="00236222"/>
    <w:rsid w:val="00242BDC"/>
    <w:rsid w:val="002439D6"/>
    <w:rsid w:val="002457E8"/>
    <w:rsid w:val="0025218A"/>
    <w:rsid w:val="002621EC"/>
    <w:rsid w:val="002622B5"/>
    <w:rsid w:val="00273DCB"/>
    <w:rsid w:val="00275F85"/>
    <w:rsid w:val="00276F9E"/>
    <w:rsid w:val="0028261B"/>
    <w:rsid w:val="002A4D6E"/>
    <w:rsid w:val="002B0590"/>
    <w:rsid w:val="002B4965"/>
    <w:rsid w:val="002C091F"/>
    <w:rsid w:val="002C0A3B"/>
    <w:rsid w:val="002C2C23"/>
    <w:rsid w:val="002C7149"/>
    <w:rsid w:val="002D4882"/>
    <w:rsid w:val="002D60FC"/>
    <w:rsid w:val="002D6893"/>
    <w:rsid w:val="002E47CD"/>
    <w:rsid w:val="002F3249"/>
    <w:rsid w:val="003112D4"/>
    <w:rsid w:val="00336AD6"/>
    <w:rsid w:val="00342685"/>
    <w:rsid w:val="0037468F"/>
    <w:rsid w:val="00375669"/>
    <w:rsid w:val="00375766"/>
    <w:rsid w:val="003776D1"/>
    <w:rsid w:val="0038420B"/>
    <w:rsid w:val="003935FF"/>
    <w:rsid w:val="003B2A35"/>
    <w:rsid w:val="003D29AE"/>
    <w:rsid w:val="003F2F8F"/>
    <w:rsid w:val="003F5AF1"/>
    <w:rsid w:val="0042756A"/>
    <w:rsid w:val="00440BC7"/>
    <w:rsid w:val="00443BA7"/>
    <w:rsid w:val="00460BD0"/>
    <w:rsid w:val="00462DB5"/>
    <w:rsid w:val="00470545"/>
    <w:rsid w:val="0047367C"/>
    <w:rsid w:val="00474F3D"/>
    <w:rsid w:val="00480903"/>
    <w:rsid w:val="00482006"/>
    <w:rsid w:val="00494DB1"/>
    <w:rsid w:val="004A2E19"/>
    <w:rsid w:val="004A2F69"/>
    <w:rsid w:val="004B7207"/>
    <w:rsid w:val="004C338D"/>
    <w:rsid w:val="004C47C4"/>
    <w:rsid w:val="004D183B"/>
    <w:rsid w:val="004D65C8"/>
    <w:rsid w:val="004E7E4F"/>
    <w:rsid w:val="004F336E"/>
    <w:rsid w:val="005074AB"/>
    <w:rsid w:val="00526416"/>
    <w:rsid w:val="00526C05"/>
    <w:rsid w:val="00563AC3"/>
    <w:rsid w:val="0057301A"/>
    <w:rsid w:val="005770FF"/>
    <w:rsid w:val="005823F4"/>
    <w:rsid w:val="00593703"/>
    <w:rsid w:val="005A20EF"/>
    <w:rsid w:val="005D363C"/>
    <w:rsid w:val="005E48D1"/>
    <w:rsid w:val="005E493A"/>
    <w:rsid w:val="005E4ABE"/>
    <w:rsid w:val="005F039B"/>
    <w:rsid w:val="005F1E5A"/>
    <w:rsid w:val="005F7875"/>
    <w:rsid w:val="00602D78"/>
    <w:rsid w:val="006038C1"/>
    <w:rsid w:val="00604BF3"/>
    <w:rsid w:val="00614296"/>
    <w:rsid w:val="00617A67"/>
    <w:rsid w:val="00621D88"/>
    <w:rsid w:val="00623626"/>
    <w:rsid w:val="0062528C"/>
    <w:rsid w:val="006253DB"/>
    <w:rsid w:val="0062768E"/>
    <w:rsid w:val="00634422"/>
    <w:rsid w:val="00637B83"/>
    <w:rsid w:val="00651FBB"/>
    <w:rsid w:val="00652653"/>
    <w:rsid w:val="00654BB9"/>
    <w:rsid w:val="00655686"/>
    <w:rsid w:val="006573BF"/>
    <w:rsid w:val="00657491"/>
    <w:rsid w:val="00662072"/>
    <w:rsid w:val="00665AF3"/>
    <w:rsid w:val="00674EE7"/>
    <w:rsid w:val="006911F9"/>
    <w:rsid w:val="006924AE"/>
    <w:rsid w:val="006944B7"/>
    <w:rsid w:val="006A1E80"/>
    <w:rsid w:val="006A4FE3"/>
    <w:rsid w:val="006A6029"/>
    <w:rsid w:val="006A64DA"/>
    <w:rsid w:val="006B32A4"/>
    <w:rsid w:val="006B63FA"/>
    <w:rsid w:val="006D1E6A"/>
    <w:rsid w:val="006D4EB1"/>
    <w:rsid w:val="006D70A2"/>
    <w:rsid w:val="006E4D5B"/>
    <w:rsid w:val="006F1A53"/>
    <w:rsid w:val="006F53A9"/>
    <w:rsid w:val="006F580B"/>
    <w:rsid w:val="007043CA"/>
    <w:rsid w:val="007071EF"/>
    <w:rsid w:val="00707BBD"/>
    <w:rsid w:val="007220C7"/>
    <w:rsid w:val="00725992"/>
    <w:rsid w:val="00726525"/>
    <w:rsid w:val="0073226C"/>
    <w:rsid w:val="007548E9"/>
    <w:rsid w:val="007762E3"/>
    <w:rsid w:val="007849B9"/>
    <w:rsid w:val="007876A3"/>
    <w:rsid w:val="00795537"/>
    <w:rsid w:val="007A33C6"/>
    <w:rsid w:val="007A598D"/>
    <w:rsid w:val="007B12F1"/>
    <w:rsid w:val="007C7F34"/>
    <w:rsid w:val="007E5632"/>
    <w:rsid w:val="007F3ADB"/>
    <w:rsid w:val="00800C62"/>
    <w:rsid w:val="0080600D"/>
    <w:rsid w:val="00811867"/>
    <w:rsid w:val="00830D9B"/>
    <w:rsid w:val="008512E1"/>
    <w:rsid w:val="00855DB8"/>
    <w:rsid w:val="00866A7B"/>
    <w:rsid w:val="00875DC6"/>
    <w:rsid w:val="00877F25"/>
    <w:rsid w:val="00897CAF"/>
    <w:rsid w:val="00897CE9"/>
    <w:rsid w:val="008A5124"/>
    <w:rsid w:val="008A6914"/>
    <w:rsid w:val="008B04D3"/>
    <w:rsid w:val="008B2B0D"/>
    <w:rsid w:val="008B3F8F"/>
    <w:rsid w:val="008D406B"/>
    <w:rsid w:val="008D425D"/>
    <w:rsid w:val="008F49F1"/>
    <w:rsid w:val="00921BDD"/>
    <w:rsid w:val="009263F8"/>
    <w:rsid w:val="00930DD6"/>
    <w:rsid w:val="00931F13"/>
    <w:rsid w:val="00941871"/>
    <w:rsid w:val="009479F2"/>
    <w:rsid w:val="0099605B"/>
    <w:rsid w:val="00996443"/>
    <w:rsid w:val="009A152A"/>
    <w:rsid w:val="009B348E"/>
    <w:rsid w:val="009B5ABA"/>
    <w:rsid w:val="009C5912"/>
    <w:rsid w:val="009C6EB8"/>
    <w:rsid w:val="009E07C5"/>
    <w:rsid w:val="009E6CAA"/>
    <w:rsid w:val="009E73E3"/>
    <w:rsid w:val="009F028E"/>
    <w:rsid w:val="00A01F23"/>
    <w:rsid w:val="00A04235"/>
    <w:rsid w:val="00A05217"/>
    <w:rsid w:val="00A132C0"/>
    <w:rsid w:val="00A34506"/>
    <w:rsid w:val="00A34D76"/>
    <w:rsid w:val="00A34E59"/>
    <w:rsid w:val="00A35FAE"/>
    <w:rsid w:val="00A61959"/>
    <w:rsid w:val="00A6397C"/>
    <w:rsid w:val="00A63C16"/>
    <w:rsid w:val="00A743A0"/>
    <w:rsid w:val="00A74617"/>
    <w:rsid w:val="00A750A8"/>
    <w:rsid w:val="00A75832"/>
    <w:rsid w:val="00A8654C"/>
    <w:rsid w:val="00A87252"/>
    <w:rsid w:val="00A96E82"/>
    <w:rsid w:val="00AA60B5"/>
    <w:rsid w:val="00AA7F31"/>
    <w:rsid w:val="00AB2DBC"/>
    <w:rsid w:val="00AB3FF4"/>
    <w:rsid w:val="00AC0B99"/>
    <w:rsid w:val="00AD5BAE"/>
    <w:rsid w:val="00AE5616"/>
    <w:rsid w:val="00AF0632"/>
    <w:rsid w:val="00AF1266"/>
    <w:rsid w:val="00B01E0F"/>
    <w:rsid w:val="00B062E0"/>
    <w:rsid w:val="00B077C3"/>
    <w:rsid w:val="00B16C58"/>
    <w:rsid w:val="00B20B5F"/>
    <w:rsid w:val="00B30E57"/>
    <w:rsid w:val="00B32AFB"/>
    <w:rsid w:val="00B40EF5"/>
    <w:rsid w:val="00B55256"/>
    <w:rsid w:val="00B57EA6"/>
    <w:rsid w:val="00B67D02"/>
    <w:rsid w:val="00B7337F"/>
    <w:rsid w:val="00B84057"/>
    <w:rsid w:val="00B846CA"/>
    <w:rsid w:val="00B90A0E"/>
    <w:rsid w:val="00BA0DF5"/>
    <w:rsid w:val="00BA70A5"/>
    <w:rsid w:val="00BC429C"/>
    <w:rsid w:val="00BC732E"/>
    <w:rsid w:val="00BD3006"/>
    <w:rsid w:val="00BE27B7"/>
    <w:rsid w:val="00BF0048"/>
    <w:rsid w:val="00BF4E07"/>
    <w:rsid w:val="00C00762"/>
    <w:rsid w:val="00C018FF"/>
    <w:rsid w:val="00C2719A"/>
    <w:rsid w:val="00C37541"/>
    <w:rsid w:val="00C40D56"/>
    <w:rsid w:val="00C43215"/>
    <w:rsid w:val="00C4770E"/>
    <w:rsid w:val="00C53A19"/>
    <w:rsid w:val="00C563A7"/>
    <w:rsid w:val="00C56DC7"/>
    <w:rsid w:val="00C7068E"/>
    <w:rsid w:val="00C77D73"/>
    <w:rsid w:val="00C84515"/>
    <w:rsid w:val="00C912B3"/>
    <w:rsid w:val="00C92689"/>
    <w:rsid w:val="00C92883"/>
    <w:rsid w:val="00CB142E"/>
    <w:rsid w:val="00CB5A10"/>
    <w:rsid w:val="00CB7FD5"/>
    <w:rsid w:val="00CC75E4"/>
    <w:rsid w:val="00CD5749"/>
    <w:rsid w:val="00CF172C"/>
    <w:rsid w:val="00CF6280"/>
    <w:rsid w:val="00CF7BE1"/>
    <w:rsid w:val="00D06353"/>
    <w:rsid w:val="00D3245B"/>
    <w:rsid w:val="00D82322"/>
    <w:rsid w:val="00D96ECF"/>
    <w:rsid w:val="00DA174D"/>
    <w:rsid w:val="00DA428D"/>
    <w:rsid w:val="00DB2997"/>
    <w:rsid w:val="00DC2E32"/>
    <w:rsid w:val="00DE1B64"/>
    <w:rsid w:val="00DE5990"/>
    <w:rsid w:val="00E10EDF"/>
    <w:rsid w:val="00E14E64"/>
    <w:rsid w:val="00E22910"/>
    <w:rsid w:val="00E33F48"/>
    <w:rsid w:val="00E4233F"/>
    <w:rsid w:val="00E45364"/>
    <w:rsid w:val="00E56C40"/>
    <w:rsid w:val="00E67339"/>
    <w:rsid w:val="00E726D3"/>
    <w:rsid w:val="00E7612D"/>
    <w:rsid w:val="00E825F2"/>
    <w:rsid w:val="00E86FC9"/>
    <w:rsid w:val="00E9058C"/>
    <w:rsid w:val="00EA1F59"/>
    <w:rsid w:val="00EA75E2"/>
    <w:rsid w:val="00EB04AC"/>
    <w:rsid w:val="00EB36C2"/>
    <w:rsid w:val="00EB60B2"/>
    <w:rsid w:val="00EB703E"/>
    <w:rsid w:val="00EC743C"/>
    <w:rsid w:val="00ED12CD"/>
    <w:rsid w:val="00ED29BD"/>
    <w:rsid w:val="00EE40A2"/>
    <w:rsid w:val="00EF2C7C"/>
    <w:rsid w:val="00EF5BED"/>
    <w:rsid w:val="00F13F0C"/>
    <w:rsid w:val="00F15CA6"/>
    <w:rsid w:val="00F2266F"/>
    <w:rsid w:val="00F23DDC"/>
    <w:rsid w:val="00F30BB9"/>
    <w:rsid w:val="00F324E7"/>
    <w:rsid w:val="00F3627C"/>
    <w:rsid w:val="00F441A6"/>
    <w:rsid w:val="00F44C2B"/>
    <w:rsid w:val="00F458F4"/>
    <w:rsid w:val="00F532C8"/>
    <w:rsid w:val="00F5625D"/>
    <w:rsid w:val="00F66D09"/>
    <w:rsid w:val="00F75FE2"/>
    <w:rsid w:val="00F80AED"/>
    <w:rsid w:val="00F84115"/>
    <w:rsid w:val="00F909DB"/>
    <w:rsid w:val="00F90EC8"/>
    <w:rsid w:val="00F913CF"/>
    <w:rsid w:val="00F93D7B"/>
    <w:rsid w:val="00FB0AD4"/>
    <w:rsid w:val="00FB0ECD"/>
    <w:rsid w:val="00FB19E9"/>
    <w:rsid w:val="00FB2622"/>
    <w:rsid w:val="00FB61AC"/>
    <w:rsid w:val="00FC2B09"/>
    <w:rsid w:val="00FC605A"/>
    <w:rsid w:val="00FE77D3"/>
    <w:rsid w:val="00FF2E98"/>
    <w:rsid w:val="00FF5B4F"/>
    <w:rsid w:val="00FF5CA0"/>
    <w:rsid w:val="00FF7F78"/>
    <w:rsid w:val="010F5AC3"/>
    <w:rsid w:val="01213882"/>
    <w:rsid w:val="013541E3"/>
    <w:rsid w:val="01410053"/>
    <w:rsid w:val="017D08AC"/>
    <w:rsid w:val="01837746"/>
    <w:rsid w:val="02415D8C"/>
    <w:rsid w:val="02734614"/>
    <w:rsid w:val="02766ACC"/>
    <w:rsid w:val="02A473C7"/>
    <w:rsid w:val="02A62291"/>
    <w:rsid w:val="02AD78A2"/>
    <w:rsid w:val="02DA7F30"/>
    <w:rsid w:val="02DB6B5E"/>
    <w:rsid w:val="02E85F9B"/>
    <w:rsid w:val="03100052"/>
    <w:rsid w:val="03101F14"/>
    <w:rsid w:val="03562B12"/>
    <w:rsid w:val="038B1E9D"/>
    <w:rsid w:val="03901D03"/>
    <w:rsid w:val="03B66504"/>
    <w:rsid w:val="03C76963"/>
    <w:rsid w:val="03FF5A61"/>
    <w:rsid w:val="04081B1E"/>
    <w:rsid w:val="041B350F"/>
    <w:rsid w:val="042756B3"/>
    <w:rsid w:val="044A6E51"/>
    <w:rsid w:val="04535724"/>
    <w:rsid w:val="047359BE"/>
    <w:rsid w:val="048246C2"/>
    <w:rsid w:val="04861D04"/>
    <w:rsid w:val="04863EA4"/>
    <w:rsid w:val="04B62C22"/>
    <w:rsid w:val="04CE1F73"/>
    <w:rsid w:val="04D1736D"/>
    <w:rsid w:val="04D6574B"/>
    <w:rsid w:val="04E81FED"/>
    <w:rsid w:val="051C3A62"/>
    <w:rsid w:val="051C54D1"/>
    <w:rsid w:val="054B0531"/>
    <w:rsid w:val="060D2627"/>
    <w:rsid w:val="06316315"/>
    <w:rsid w:val="06DA4540"/>
    <w:rsid w:val="070776CD"/>
    <w:rsid w:val="07394EB6"/>
    <w:rsid w:val="07B1581D"/>
    <w:rsid w:val="07F64F00"/>
    <w:rsid w:val="07FE491D"/>
    <w:rsid w:val="08057A5A"/>
    <w:rsid w:val="08483E6D"/>
    <w:rsid w:val="08534C69"/>
    <w:rsid w:val="086F3BCB"/>
    <w:rsid w:val="08B14538"/>
    <w:rsid w:val="08EE6740"/>
    <w:rsid w:val="08F67302"/>
    <w:rsid w:val="09062887"/>
    <w:rsid w:val="094130C2"/>
    <w:rsid w:val="094B284C"/>
    <w:rsid w:val="098962EF"/>
    <w:rsid w:val="09990A36"/>
    <w:rsid w:val="09E04B47"/>
    <w:rsid w:val="0A152A52"/>
    <w:rsid w:val="0A155C5A"/>
    <w:rsid w:val="0A2711E1"/>
    <w:rsid w:val="0A333A71"/>
    <w:rsid w:val="0A341D31"/>
    <w:rsid w:val="0A9C2009"/>
    <w:rsid w:val="0AAA3E1D"/>
    <w:rsid w:val="0ACF0CF1"/>
    <w:rsid w:val="0AEF4C96"/>
    <w:rsid w:val="0B1E17E8"/>
    <w:rsid w:val="0B2050DF"/>
    <w:rsid w:val="0B4E4D49"/>
    <w:rsid w:val="0B883E82"/>
    <w:rsid w:val="0B9A495D"/>
    <w:rsid w:val="0BB32F02"/>
    <w:rsid w:val="0BB7550F"/>
    <w:rsid w:val="0C484EEE"/>
    <w:rsid w:val="0C9264F1"/>
    <w:rsid w:val="0C981B51"/>
    <w:rsid w:val="0CAC2BD6"/>
    <w:rsid w:val="0CF449BB"/>
    <w:rsid w:val="0CFC68A6"/>
    <w:rsid w:val="0D1D7803"/>
    <w:rsid w:val="0D2A1D10"/>
    <w:rsid w:val="0D50238C"/>
    <w:rsid w:val="0D560DFF"/>
    <w:rsid w:val="0D677E66"/>
    <w:rsid w:val="0D703BC7"/>
    <w:rsid w:val="0D7D1AE1"/>
    <w:rsid w:val="0DB066B9"/>
    <w:rsid w:val="0DCB704F"/>
    <w:rsid w:val="0DD22DA6"/>
    <w:rsid w:val="0DDB3F9D"/>
    <w:rsid w:val="0E0E4AD3"/>
    <w:rsid w:val="0E271409"/>
    <w:rsid w:val="0E341099"/>
    <w:rsid w:val="0E413AE5"/>
    <w:rsid w:val="0E6F3EAD"/>
    <w:rsid w:val="0E7347DF"/>
    <w:rsid w:val="0E9F5FA8"/>
    <w:rsid w:val="0ECC0BD2"/>
    <w:rsid w:val="0ECE70D6"/>
    <w:rsid w:val="0EDB04B7"/>
    <w:rsid w:val="0EF26408"/>
    <w:rsid w:val="0F040368"/>
    <w:rsid w:val="0F3D3F7D"/>
    <w:rsid w:val="0F5575C9"/>
    <w:rsid w:val="0F7A0D2D"/>
    <w:rsid w:val="0FAA6594"/>
    <w:rsid w:val="0FED3255"/>
    <w:rsid w:val="0FFB63F9"/>
    <w:rsid w:val="100A796C"/>
    <w:rsid w:val="100C3E6B"/>
    <w:rsid w:val="102F7D69"/>
    <w:rsid w:val="10330CA8"/>
    <w:rsid w:val="10455972"/>
    <w:rsid w:val="104F5DD0"/>
    <w:rsid w:val="106B0A27"/>
    <w:rsid w:val="10740008"/>
    <w:rsid w:val="10747B27"/>
    <w:rsid w:val="10961B97"/>
    <w:rsid w:val="10AD196B"/>
    <w:rsid w:val="10BA0C81"/>
    <w:rsid w:val="10D95617"/>
    <w:rsid w:val="10F73E77"/>
    <w:rsid w:val="10FC27DD"/>
    <w:rsid w:val="110C5CA7"/>
    <w:rsid w:val="111D5E14"/>
    <w:rsid w:val="11223DDD"/>
    <w:rsid w:val="11390774"/>
    <w:rsid w:val="113D3D5D"/>
    <w:rsid w:val="11681852"/>
    <w:rsid w:val="1171768D"/>
    <w:rsid w:val="11B76268"/>
    <w:rsid w:val="11BB40A7"/>
    <w:rsid w:val="12015736"/>
    <w:rsid w:val="12181154"/>
    <w:rsid w:val="1218364A"/>
    <w:rsid w:val="12303C25"/>
    <w:rsid w:val="123B5C73"/>
    <w:rsid w:val="126037D6"/>
    <w:rsid w:val="12965706"/>
    <w:rsid w:val="12A762DD"/>
    <w:rsid w:val="12C571AF"/>
    <w:rsid w:val="12D270D2"/>
    <w:rsid w:val="12DF0227"/>
    <w:rsid w:val="130A2AA7"/>
    <w:rsid w:val="13466571"/>
    <w:rsid w:val="13473945"/>
    <w:rsid w:val="13545F18"/>
    <w:rsid w:val="13D27D6A"/>
    <w:rsid w:val="13F97129"/>
    <w:rsid w:val="14133B9C"/>
    <w:rsid w:val="1417033E"/>
    <w:rsid w:val="141C360E"/>
    <w:rsid w:val="143108FD"/>
    <w:rsid w:val="143C1162"/>
    <w:rsid w:val="143E49AF"/>
    <w:rsid w:val="144611D2"/>
    <w:rsid w:val="145B58F4"/>
    <w:rsid w:val="145C30F7"/>
    <w:rsid w:val="14661880"/>
    <w:rsid w:val="146C2D50"/>
    <w:rsid w:val="148B7BBB"/>
    <w:rsid w:val="14E54E1F"/>
    <w:rsid w:val="151B44ED"/>
    <w:rsid w:val="157959A9"/>
    <w:rsid w:val="15CF16A7"/>
    <w:rsid w:val="15D651E6"/>
    <w:rsid w:val="15FE55FC"/>
    <w:rsid w:val="1603178E"/>
    <w:rsid w:val="161656CD"/>
    <w:rsid w:val="161D0CB7"/>
    <w:rsid w:val="164939D4"/>
    <w:rsid w:val="16A8314F"/>
    <w:rsid w:val="16AB01D2"/>
    <w:rsid w:val="16CD0A9E"/>
    <w:rsid w:val="16E00AEF"/>
    <w:rsid w:val="17395DEA"/>
    <w:rsid w:val="17946E9F"/>
    <w:rsid w:val="17B67E21"/>
    <w:rsid w:val="17E6609D"/>
    <w:rsid w:val="1805738B"/>
    <w:rsid w:val="181C386D"/>
    <w:rsid w:val="18221F62"/>
    <w:rsid w:val="18231492"/>
    <w:rsid w:val="183A7404"/>
    <w:rsid w:val="184057C9"/>
    <w:rsid w:val="187945F2"/>
    <w:rsid w:val="18B94FB4"/>
    <w:rsid w:val="18BB1DB8"/>
    <w:rsid w:val="18BC0F38"/>
    <w:rsid w:val="18F94C2D"/>
    <w:rsid w:val="19046119"/>
    <w:rsid w:val="19305B7C"/>
    <w:rsid w:val="194A2512"/>
    <w:rsid w:val="19A50122"/>
    <w:rsid w:val="19AE6CEE"/>
    <w:rsid w:val="19F531B9"/>
    <w:rsid w:val="19FD469D"/>
    <w:rsid w:val="1A167738"/>
    <w:rsid w:val="1A255D39"/>
    <w:rsid w:val="1A387F08"/>
    <w:rsid w:val="1A414728"/>
    <w:rsid w:val="1A457DD2"/>
    <w:rsid w:val="1A5403CD"/>
    <w:rsid w:val="1A7C3F72"/>
    <w:rsid w:val="1A9772AA"/>
    <w:rsid w:val="1AC741EA"/>
    <w:rsid w:val="1B1913CD"/>
    <w:rsid w:val="1B2829A6"/>
    <w:rsid w:val="1B544879"/>
    <w:rsid w:val="1B87310C"/>
    <w:rsid w:val="1B984E0D"/>
    <w:rsid w:val="1B9E3951"/>
    <w:rsid w:val="1BA23853"/>
    <w:rsid w:val="1BC500F3"/>
    <w:rsid w:val="1BCD6688"/>
    <w:rsid w:val="1BE667CD"/>
    <w:rsid w:val="1C0302FC"/>
    <w:rsid w:val="1C1147C7"/>
    <w:rsid w:val="1C4D0D97"/>
    <w:rsid w:val="1C7A583D"/>
    <w:rsid w:val="1C851A10"/>
    <w:rsid w:val="1C954E12"/>
    <w:rsid w:val="1CE30808"/>
    <w:rsid w:val="1CF846A0"/>
    <w:rsid w:val="1D17405F"/>
    <w:rsid w:val="1D271DC3"/>
    <w:rsid w:val="1D2B3667"/>
    <w:rsid w:val="1D512106"/>
    <w:rsid w:val="1D51213E"/>
    <w:rsid w:val="1D557934"/>
    <w:rsid w:val="1D591ECF"/>
    <w:rsid w:val="1D7A4A37"/>
    <w:rsid w:val="1DAA500F"/>
    <w:rsid w:val="1DAC0C4B"/>
    <w:rsid w:val="1DB6736A"/>
    <w:rsid w:val="1DC42874"/>
    <w:rsid w:val="1DD458EE"/>
    <w:rsid w:val="1E3B1FCF"/>
    <w:rsid w:val="1E4A0464"/>
    <w:rsid w:val="1E4B0A6B"/>
    <w:rsid w:val="1E4B1042"/>
    <w:rsid w:val="1E552471"/>
    <w:rsid w:val="1E941613"/>
    <w:rsid w:val="1EB02BD1"/>
    <w:rsid w:val="1EC45B21"/>
    <w:rsid w:val="1EF62054"/>
    <w:rsid w:val="1EFD6C1A"/>
    <w:rsid w:val="1F0D43D3"/>
    <w:rsid w:val="1F6B7C4E"/>
    <w:rsid w:val="1F705CA9"/>
    <w:rsid w:val="1FC10A0C"/>
    <w:rsid w:val="1FE21636"/>
    <w:rsid w:val="200D2D6C"/>
    <w:rsid w:val="20170100"/>
    <w:rsid w:val="20360CA0"/>
    <w:rsid w:val="205056C0"/>
    <w:rsid w:val="206C4B14"/>
    <w:rsid w:val="20711B65"/>
    <w:rsid w:val="209129F5"/>
    <w:rsid w:val="209E4ADA"/>
    <w:rsid w:val="20A62957"/>
    <w:rsid w:val="2120725A"/>
    <w:rsid w:val="213D5DB1"/>
    <w:rsid w:val="21420029"/>
    <w:rsid w:val="2145002C"/>
    <w:rsid w:val="21751354"/>
    <w:rsid w:val="218C07C3"/>
    <w:rsid w:val="21AC10A4"/>
    <w:rsid w:val="220E3E9E"/>
    <w:rsid w:val="22142A17"/>
    <w:rsid w:val="22262F39"/>
    <w:rsid w:val="22363A48"/>
    <w:rsid w:val="227C728E"/>
    <w:rsid w:val="22D862A9"/>
    <w:rsid w:val="22FF5E4B"/>
    <w:rsid w:val="233370D8"/>
    <w:rsid w:val="23551FBF"/>
    <w:rsid w:val="236E1993"/>
    <w:rsid w:val="23847F75"/>
    <w:rsid w:val="23932289"/>
    <w:rsid w:val="23AE271A"/>
    <w:rsid w:val="23AF2745"/>
    <w:rsid w:val="23DE4CEA"/>
    <w:rsid w:val="241A61E3"/>
    <w:rsid w:val="243F5C4A"/>
    <w:rsid w:val="24442EA8"/>
    <w:rsid w:val="246131D8"/>
    <w:rsid w:val="24675129"/>
    <w:rsid w:val="248A7860"/>
    <w:rsid w:val="24983D1A"/>
    <w:rsid w:val="24B40627"/>
    <w:rsid w:val="24D12E73"/>
    <w:rsid w:val="24FB42BB"/>
    <w:rsid w:val="25283943"/>
    <w:rsid w:val="252C3B2C"/>
    <w:rsid w:val="25301756"/>
    <w:rsid w:val="253279D5"/>
    <w:rsid w:val="256F626F"/>
    <w:rsid w:val="25783B09"/>
    <w:rsid w:val="259F4E4E"/>
    <w:rsid w:val="25AB5145"/>
    <w:rsid w:val="25CA054A"/>
    <w:rsid w:val="2605754A"/>
    <w:rsid w:val="26195797"/>
    <w:rsid w:val="264F6618"/>
    <w:rsid w:val="2660079B"/>
    <w:rsid w:val="266F7A8C"/>
    <w:rsid w:val="26702EEC"/>
    <w:rsid w:val="267A740D"/>
    <w:rsid w:val="268D7140"/>
    <w:rsid w:val="26902306"/>
    <w:rsid w:val="26C5180F"/>
    <w:rsid w:val="26EB3952"/>
    <w:rsid w:val="26F01EE9"/>
    <w:rsid w:val="270C275B"/>
    <w:rsid w:val="272555CB"/>
    <w:rsid w:val="272730F1"/>
    <w:rsid w:val="27560161"/>
    <w:rsid w:val="27610678"/>
    <w:rsid w:val="276A39F1"/>
    <w:rsid w:val="277D15C4"/>
    <w:rsid w:val="279E28E3"/>
    <w:rsid w:val="27A76520"/>
    <w:rsid w:val="27C5000C"/>
    <w:rsid w:val="27EB0F78"/>
    <w:rsid w:val="280672EC"/>
    <w:rsid w:val="28190FE2"/>
    <w:rsid w:val="281D62A2"/>
    <w:rsid w:val="28514C1F"/>
    <w:rsid w:val="28557729"/>
    <w:rsid w:val="286E7CD8"/>
    <w:rsid w:val="2889296A"/>
    <w:rsid w:val="289F3502"/>
    <w:rsid w:val="28F619DC"/>
    <w:rsid w:val="28FF0033"/>
    <w:rsid w:val="29426201"/>
    <w:rsid w:val="294D0DB0"/>
    <w:rsid w:val="2955650B"/>
    <w:rsid w:val="29AA6040"/>
    <w:rsid w:val="29CE7FFA"/>
    <w:rsid w:val="29F031A1"/>
    <w:rsid w:val="29F46016"/>
    <w:rsid w:val="2A2D4F40"/>
    <w:rsid w:val="2A470E16"/>
    <w:rsid w:val="2A4F14A8"/>
    <w:rsid w:val="2A56367D"/>
    <w:rsid w:val="2A7E571E"/>
    <w:rsid w:val="2B043792"/>
    <w:rsid w:val="2B5B61D6"/>
    <w:rsid w:val="2BBA017B"/>
    <w:rsid w:val="2C146A3F"/>
    <w:rsid w:val="2C1D1848"/>
    <w:rsid w:val="2C2E295F"/>
    <w:rsid w:val="2C484A78"/>
    <w:rsid w:val="2C5D4A7C"/>
    <w:rsid w:val="2C827087"/>
    <w:rsid w:val="2C946048"/>
    <w:rsid w:val="2CA75B9C"/>
    <w:rsid w:val="2CC338BC"/>
    <w:rsid w:val="2CEC14F9"/>
    <w:rsid w:val="2D0F0B32"/>
    <w:rsid w:val="2D3C01F6"/>
    <w:rsid w:val="2D5D529E"/>
    <w:rsid w:val="2D5D697D"/>
    <w:rsid w:val="2D621C05"/>
    <w:rsid w:val="2D734326"/>
    <w:rsid w:val="2DD6747C"/>
    <w:rsid w:val="2E030FA3"/>
    <w:rsid w:val="2E3E2AA1"/>
    <w:rsid w:val="2E41718E"/>
    <w:rsid w:val="2E426A62"/>
    <w:rsid w:val="2E6A7D67"/>
    <w:rsid w:val="2E725A34"/>
    <w:rsid w:val="2E856E72"/>
    <w:rsid w:val="2E95234A"/>
    <w:rsid w:val="2E9A30C2"/>
    <w:rsid w:val="2EB66B03"/>
    <w:rsid w:val="2ECA5957"/>
    <w:rsid w:val="2EDE2C2F"/>
    <w:rsid w:val="2EF05B06"/>
    <w:rsid w:val="2EF747F4"/>
    <w:rsid w:val="2F054D33"/>
    <w:rsid w:val="2F9A3712"/>
    <w:rsid w:val="2FC6531A"/>
    <w:rsid w:val="2FE760A0"/>
    <w:rsid w:val="2FF41933"/>
    <w:rsid w:val="30082BFD"/>
    <w:rsid w:val="30093CDB"/>
    <w:rsid w:val="30141291"/>
    <w:rsid w:val="303B7C0D"/>
    <w:rsid w:val="305331A8"/>
    <w:rsid w:val="305D72A7"/>
    <w:rsid w:val="30643F13"/>
    <w:rsid w:val="30DE140E"/>
    <w:rsid w:val="30FE6137"/>
    <w:rsid w:val="311961A0"/>
    <w:rsid w:val="31284B9E"/>
    <w:rsid w:val="31446FA4"/>
    <w:rsid w:val="31855437"/>
    <w:rsid w:val="31916349"/>
    <w:rsid w:val="31922A1B"/>
    <w:rsid w:val="31B815E9"/>
    <w:rsid w:val="31E02DCA"/>
    <w:rsid w:val="31EE1783"/>
    <w:rsid w:val="32054110"/>
    <w:rsid w:val="32170BEE"/>
    <w:rsid w:val="321D3A6E"/>
    <w:rsid w:val="321E0F02"/>
    <w:rsid w:val="322A0C2B"/>
    <w:rsid w:val="32655415"/>
    <w:rsid w:val="32827D75"/>
    <w:rsid w:val="329C76FF"/>
    <w:rsid w:val="32A24265"/>
    <w:rsid w:val="32CD4892"/>
    <w:rsid w:val="32DE44DC"/>
    <w:rsid w:val="33531C09"/>
    <w:rsid w:val="335C1E82"/>
    <w:rsid w:val="33D510B5"/>
    <w:rsid w:val="33F64577"/>
    <w:rsid w:val="3415664D"/>
    <w:rsid w:val="341B3FDD"/>
    <w:rsid w:val="343B591B"/>
    <w:rsid w:val="345A088F"/>
    <w:rsid w:val="345A48C2"/>
    <w:rsid w:val="345D45F6"/>
    <w:rsid w:val="34783B49"/>
    <w:rsid w:val="348F1DA3"/>
    <w:rsid w:val="34EA547B"/>
    <w:rsid w:val="351814BC"/>
    <w:rsid w:val="351A7D2B"/>
    <w:rsid w:val="352073D1"/>
    <w:rsid w:val="35281352"/>
    <w:rsid w:val="3549298F"/>
    <w:rsid w:val="355B3D86"/>
    <w:rsid w:val="3569252B"/>
    <w:rsid w:val="357C5693"/>
    <w:rsid w:val="35AA7A48"/>
    <w:rsid w:val="35BE50B6"/>
    <w:rsid w:val="35D52E6A"/>
    <w:rsid w:val="35DC1BBD"/>
    <w:rsid w:val="35DD31DA"/>
    <w:rsid w:val="360C3C54"/>
    <w:rsid w:val="361121FD"/>
    <w:rsid w:val="36171120"/>
    <w:rsid w:val="367061A6"/>
    <w:rsid w:val="369B1BF5"/>
    <w:rsid w:val="36B660E6"/>
    <w:rsid w:val="36C4697F"/>
    <w:rsid w:val="36FA5694"/>
    <w:rsid w:val="3707646F"/>
    <w:rsid w:val="370D0818"/>
    <w:rsid w:val="372D208E"/>
    <w:rsid w:val="373366E7"/>
    <w:rsid w:val="374B5B85"/>
    <w:rsid w:val="376D2E7E"/>
    <w:rsid w:val="379A7C7E"/>
    <w:rsid w:val="379E73FF"/>
    <w:rsid w:val="37B02C8E"/>
    <w:rsid w:val="37C02BEF"/>
    <w:rsid w:val="37C63C21"/>
    <w:rsid w:val="37D47B5E"/>
    <w:rsid w:val="38175A85"/>
    <w:rsid w:val="382C5E27"/>
    <w:rsid w:val="38482EC7"/>
    <w:rsid w:val="3851222B"/>
    <w:rsid w:val="387E019F"/>
    <w:rsid w:val="38910D12"/>
    <w:rsid w:val="38C369F1"/>
    <w:rsid w:val="38D6107E"/>
    <w:rsid w:val="39597E10"/>
    <w:rsid w:val="3962620A"/>
    <w:rsid w:val="39647FE9"/>
    <w:rsid w:val="397E377F"/>
    <w:rsid w:val="39C06D61"/>
    <w:rsid w:val="39C16AC0"/>
    <w:rsid w:val="39D13674"/>
    <w:rsid w:val="3A033549"/>
    <w:rsid w:val="3A4D3974"/>
    <w:rsid w:val="3A5E0C4C"/>
    <w:rsid w:val="3A667F7C"/>
    <w:rsid w:val="3A6E29BE"/>
    <w:rsid w:val="3A9350DA"/>
    <w:rsid w:val="3A9B19D4"/>
    <w:rsid w:val="3AB06710"/>
    <w:rsid w:val="3AB436D1"/>
    <w:rsid w:val="3AE769BC"/>
    <w:rsid w:val="3B0C3D2D"/>
    <w:rsid w:val="3B0F5F1E"/>
    <w:rsid w:val="3B51113B"/>
    <w:rsid w:val="3B7A0CEE"/>
    <w:rsid w:val="3B862684"/>
    <w:rsid w:val="3B8812C8"/>
    <w:rsid w:val="3BB134AE"/>
    <w:rsid w:val="3BF4386B"/>
    <w:rsid w:val="3C0F45C3"/>
    <w:rsid w:val="3C2B3DBA"/>
    <w:rsid w:val="3C87272A"/>
    <w:rsid w:val="3C9278C2"/>
    <w:rsid w:val="3C95467F"/>
    <w:rsid w:val="3C97386D"/>
    <w:rsid w:val="3CA14F51"/>
    <w:rsid w:val="3CA46A13"/>
    <w:rsid w:val="3CCD2A8C"/>
    <w:rsid w:val="3CD967E3"/>
    <w:rsid w:val="3D0F48FB"/>
    <w:rsid w:val="3D1C5919"/>
    <w:rsid w:val="3D2139CC"/>
    <w:rsid w:val="3D2A4974"/>
    <w:rsid w:val="3D877FA8"/>
    <w:rsid w:val="3DAE61D9"/>
    <w:rsid w:val="3E297E8A"/>
    <w:rsid w:val="3E371C8E"/>
    <w:rsid w:val="3E3E29D5"/>
    <w:rsid w:val="3E4F4880"/>
    <w:rsid w:val="3E8B6405"/>
    <w:rsid w:val="3E982321"/>
    <w:rsid w:val="3EA348F1"/>
    <w:rsid w:val="3EC36A3C"/>
    <w:rsid w:val="3EFF1426"/>
    <w:rsid w:val="3F1E462F"/>
    <w:rsid w:val="3F5550FC"/>
    <w:rsid w:val="3F56236D"/>
    <w:rsid w:val="3F5D2B1F"/>
    <w:rsid w:val="3F6667D2"/>
    <w:rsid w:val="3F8D4D4A"/>
    <w:rsid w:val="3F9A4CD2"/>
    <w:rsid w:val="3FA06EF7"/>
    <w:rsid w:val="3FA775EA"/>
    <w:rsid w:val="3FA820F9"/>
    <w:rsid w:val="3FAD5A91"/>
    <w:rsid w:val="3FCC0881"/>
    <w:rsid w:val="3FD85C4F"/>
    <w:rsid w:val="3FF51B41"/>
    <w:rsid w:val="3FFB57DA"/>
    <w:rsid w:val="403222C3"/>
    <w:rsid w:val="408A6A4D"/>
    <w:rsid w:val="40BC26A4"/>
    <w:rsid w:val="40C95B2B"/>
    <w:rsid w:val="40CA3AFA"/>
    <w:rsid w:val="40CB0D52"/>
    <w:rsid w:val="40D32219"/>
    <w:rsid w:val="410E53C1"/>
    <w:rsid w:val="41115F4D"/>
    <w:rsid w:val="415D593F"/>
    <w:rsid w:val="41602ED0"/>
    <w:rsid w:val="418A318A"/>
    <w:rsid w:val="418F63F8"/>
    <w:rsid w:val="41964027"/>
    <w:rsid w:val="419C3630"/>
    <w:rsid w:val="41A945C9"/>
    <w:rsid w:val="41B70386"/>
    <w:rsid w:val="41E526EE"/>
    <w:rsid w:val="41F26553"/>
    <w:rsid w:val="41F40D3E"/>
    <w:rsid w:val="427A76F5"/>
    <w:rsid w:val="428B4A24"/>
    <w:rsid w:val="429F0D52"/>
    <w:rsid w:val="42A01DAD"/>
    <w:rsid w:val="42D705D3"/>
    <w:rsid w:val="42DD6902"/>
    <w:rsid w:val="42E45A8A"/>
    <w:rsid w:val="430A7055"/>
    <w:rsid w:val="433D5680"/>
    <w:rsid w:val="43475CC9"/>
    <w:rsid w:val="43612D91"/>
    <w:rsid w:val="436B603A"/>
    <w:rsid w:val="4395391D"/>
    <w:rsid w:val="43C44EDE"/>
    <w:rsid w:val="43F809F6"/>
    <w:rsid w:val="43FB2100"/>
    <w:rsid w:val="4412132F"/>
    <w:rsid w:val="44202F4A"/>
    <w:rsid w:val="44226252"/>
    <w:rsid w:val="442E47C7"/>
    <w:rsid w:val="44392A3A"/>
    <w:rsid w:val="445140BA"/>
    <w:rsid w:val="44625310"/>
    <w:rsid w:val="4469790C"/>
    <w:rsid w:val="446A0C2B"/>
    <w:rsid w:val="44716B9D"/>
    <w:rsid w:val="44BF09B5"/>
    <w:rsid w:val="44BF5356"/>
    <w:rsid w:val="44DF168B"/>
    <w:rsid w:val="44F779A2"/>
    <w:rsid w:val="45201E04"/>
    <w:rsid w:val="452867EB"/>
    <w:rsid w:val="452A3203"/>
    <w:rsid w:val="457873F2"/>
    <w:rsid w:val="457D2ABA"/>
    <w:rsid w:val="45905EAD"/>
    <w:rsid w:val="45A90A4E"/>
    <w:rsid w:val="45C80B69"/>
    <w:rsid w:val="45CD6874"/>
    <w:rsid w:val="45E30CC2"/>
    <w:rsid w:val="46052E95"/>
    <w:rsid w:val="46150B50"/>
    <w:rsid w:val="465A704A"/>
    <w:rsid w:val="469F02EB"/>
    <w:rsid w:val="46AF6218"/>
    <w:rsid w:val="46B34551"/>
    <w:rsid w:val="46B93119"/>
    <w:rsid w:val="46DD1652"/>
    <w:rsid w:val="46E77E61"/>
    <w:rsid w:val="46EF5A35"/>
    <w:rsid w:val="470C219E"/>
    <w:rsid w:val="476C78A4"/>
    <w:rsid w:val="47D51E1F"/>
    <w:rsid w:val="47E56984"/>
    <w:rsid w:val="47EC7D13"/>
    <w:rsid w:val="47F20FB3"/>
    <w:rsid w:val="480C5CBF"/>
    <w:rsid w:val="48BC14B7"/>
    <w:rsid w:val="492E1833"/>
    <w:rsid w:val="49380A54"/>
    <w:rsid w:val="493D530F"/>
    <w:rsid w:val="493E00C3"/>
    <w:rsid w:val="496E4757"/>
    <w:rsid w:val="49834E73"/>
    <w:rsid w:val="498E69DD"/>
    <w:rsid w:val="49BE0964"/>
    <w:rsid w:val="49C51346"/>
    <w:rsid w:val="49E932CD"/>
    <w:rsid w:val="4A174DEF"/>
    <w:rsid w:val="4A191CAA"/>
    <w:rsid w:val="4A1F4E00"/>
    <w:rsid w:val="4A2710F3"/>
    <w:rsid w:val="4A58343D"/>
    <w:rsid w:val="4A6639E3"/>
    <w:rsid w:val="4A677B24"/>
    <w:rsid w:val="4A835B3B"/>
    <w:rsid w:val="4A8420B3"/>
    <w:rsid w:val="4A904BD7"/>
    <w:rsid w:val="4AB56AE2"/>
    <w:rsid w:val="4ABB60A8"/>
    <w:rsid w:val="4AC04E7B"/>
    <w:rsid w:val="4ACA61F8"/>
    <w:rsid w:val="4ACE1AA3"/>
    <w:rsid w:val="4B11413D"/>
    <w:rsid w:val="4B143967"/>
    <w:rsid w:val="4B1F21AD"/>
    <w:rsid w:val="4B1F29A6"/>
    <w:rsid w:val="4B2E6D3F"/>
    <w:rsid w:val="4B3D180F"/>
    <w:rsid w:val="4B3F3B18"/>
    <w:rsid w:val="4B4D6D1A"/>
    <w:rsid w:val="4B6E3E9C"/>
    <w:rsid w:val="4BAE109A"/>
    <w:rsid w:val="4BBC7149"/>
    <w:rsid w:val="4BBD76FF"/>
    <w:rsid w:val="4BBE6B99"/>
    <w:rsid w:val="4BCA19FC"/>
    <w:rsid w:val="4BD41047"/>
    <w:rsid w:val="4BE81D78"/>
    <w:rsid w:val="4C012F97"/>
    <w:rsid w:val="4C253624"/>
    <w:rsid w:val="4C3A428A"/>
    <w:rsid w:val="4C5A776A"/>
    <w:rsid w:val="4C757967"/>
    <w:rsid w:val="4C7B0A31"/>
    <w:rsid w:val="4C8A50A1"/>
    <w:rsid w:val="4C8B1D2E"/>
    <w:rsid w:val="4C8F4F1F"/>
    <w:rsid w:val="4CC823D1"/>
    <w:rsid w:val="4D230F27"/>
    <w:rsid w:val="4D2B5247"/>
    <w:rsid w:val="4D322BAA"/>
    <w:rsid w:val="4D445875"/>
    <w:rsid w:val="4D6C1A03"/>
    <w:rsid w:val="4DA035EC"/>
    <w:rsid w:val="4DAD7FEF"/>
    <w:rsid w:val="4DBE1B73"/>
    <w:rsid w:val="4E410800"/>
    <w:rsid w:val="4E4C6927"/>
    <w:rsid w:val="4E796F6C"/>
    <w:rsid w:val="4E7B16F3"/>
    <w:rsid w:val="4EA23304"/>
    <w:rsid w:val="4F20677E"/>
    <w:rsid w:val="4F2A7373"/>
    <w:rsid w:val="4F3517CE"/>
    <w:rsid w:val="4F4E66E6"/>
    <w:rsid w:val="4F7A06E6"/>
    <w:rsid w:val="4F7C79F6"/>
    <w:rsid w:val="4F8C6B9A"/>
    <w:rsid w:val="4FAD239E"/>
    <w:rsid w:val="4FE31DD7"/>
    <w:rsid w:val="4FEE0C96"/>
    <w:rsid w:val="500D74A6"/>
    <w:rsid w:val="50377F99"/>
    <w:rsid w:val="50390E53"/>
    <w:rsid w:val="50816EF9"/>
    <w:rsid w:val="50846766"/>
    <w:rsid w:val="50967130"/>
    <w:rsid w:val="50BE63AB"/>
    <w:rsid w:val="513C3327"/>
    <w:rsid w:val="515A5328"/>
    <w:rsid w:val="518402C2"/>
    <w:rsid w:val="51890C7B"/>
    <w:rsid w:val="519F038A"/>
    <w:rsid w:val="51BC5F00"/>
    <w:rsid w:val="51CC4425"/>
    <w:rsid w:val="51CF3350"/>
    <w:rsid w:val="51F64CB1"/>
    <w:rsid w:val="52036B5A"/>
    <w:rsid w:val="521E31BF"/>
    <w:rsid w:val="52720E14"/>
    <w:rsid w:val="527258B2"/>
    <w:rsid w:val="528715D0"/>
    <w:rsid w:val="52A20AFD"/>
    <w:rsid w:val="53577DF1"/>
    <w:rsid w:val="535844AE"/>
    <w:rsid w:val="53743050"/>
    <w:rsid w:val="53876849"/>
    <w:rsid w:val="53AA4F9B"/>
    <w:rsid w:val="53BB19B4"/>
    <w:rsid w:val="53D0747F"/>
    <w:rsid w:val="54234E35"/>
    <w:rsid w:val="54771785"/>
    <w:rsid w:val="54834E17"/>
    <w:rsid w:val="548644B5"/>
    <w:rsid w:val="548C0FB1"/>
    <w:rsid w:val="5494198B"/>
    <w:rsid w:val="54C45AD3"/>
    <w:rsid w:val="54D7298C"/>
    <w:rsid w:val="55077F47"/>
    <w:rsid w:val="552C35EA"/>
    <w:rsid w:val="555E40EB"/>
    <w:rsid w:val="558E48F3"/>
    <w:rsid w:val="55C220F8"/>
    <w:rsid w:val="55F96067"/>
    <w:rsid w:val="55FD758F"/>
    <w:rsid w:val="5626352D"/>
    <w:rsid w:val="56982E14"/>
    <w:rsid w:val="56DC57FE"/>
    <w:rsid w:val="56F1725C"/>
    <w:rsid w:val="56F52014"/>
    <w:rsid w:val="571653DC"/>
    <w:rsid w:val="5717642E"/>
    <w:rsid w:val="571B7CCD"/>
    <w:rsid w:val="57330423"/>
    <w:rsid w:val="57511940"/>
    <w:rsid w:val="57775C5C"/>
    <w:rsid w:val="57982B94"/>
    <w:rsid w:val="57A40895"/>
    <w:rsid w:val="57C434A7"/>
    <w:rsid w:val="57DA4925"/>
    <w:rsid w:val="581A1CA6"/>
    <w:rsid w:val="58601C1C"/>
    <w:rsid w:val="58690F0C"/>
    <w:rsid w:val="587E53C1"/>
    <w:rsid w:val="58983CEF"/>
    <w:rsid w:val="58DB0F44"/>
    <w:rsid w:val="593B4656"/>
    <w:rsid w:val="595219A0"/>
    <w:rsid w:val="59620A60"/>
    <w:rsid w:val="597E6E6B"/>
    <w:rsid w:val="59A10231"/>
    <w:rsid w:val="5A2E7DF6"/>
    <w:rsid w:val="5A425120"/>
    <w:rsid w:val="5A5379E1"/>
    <w:rsid w:val="5A744867"/>
    <w:rsid w:val="5AD95F6D"/>
    <w:rsid w:val="5AF50AE5"/>
    <w:rsid w:val="5AF97BA7"/>
    <w:rsid w:val="5B094B6C"/>
    <w:rsid w:val="5B16503A"/>
    <w:rsid w:val="5B1A3CB1"/>
    <w:rsid w:val="5B215ACE"/>
    <w:rsid w:val="5B250884"/>
    <w:rsid w:val="5B63290A"/>
    <w:rsid w:val="5B857EAA"/>
    <w:rsid w:val="5B9444F1"/>
    <w:rsid w:val="5B9C3A2C"/>
    <w:rsid w:val="5B9C6F02"/>
    <w:rsid w:val="5BC1388C"/>
    <w:rsid w:val="5BF25964"/>
    <w:rsid w:val="5C2951CB"/>
    <w:rsid w:val="5C86208C"/>
    <w:rsid w:val="5CAE6B1C"/>
    <w:rsid w:val="5CDC77F6"/>
    <w:rsid w:val="5D02548B"/>
    <w:rsid w:val="5D736B83"/>
    <w:rsid w:val="5D8579FD"/>
    <w:rsid w:val="5DA010A9"/>
    <w:rsid w:val="5DB93EFC"/>
    <w:rsid w:val="5DE4128B"/>
    <w:rsid w:val="5E191903"/>
    <w:rsid w:val="5E2467D3"/>
    <w:rsid w:val="5E31427A"/>
    <w:rsid w:val="5E3B2051"/>
    <w:rsid w:val="5E455DA7"/>
    <w:rsid w:val="5E4D0988"/>
    <w:rsid w:val="5E631F59"/>
    <w:rsid w:val="5E912DD4"/>
    <w:rsid w:val="5ED65B32"/>
    <w:rsid w:val="5EE37364"/>
    <w:rsid w:val="5EFC3AB5"/>
    <w:rsid w:val="5F552BC0"/>
    <w:rsid w:val="5FAA0DD0"/>
    <w:rsid w:val="5FCD5912"/>
    <w:rsid w:val="5FD039A2"/>
    <w:rsid w:val="5FD15762"/>
    <w:rsid w:val="600E0644"/>
    <w:rsid w:val="602D4E57"/>
    <w:rsid w:val="60695C57"/>
    <w:rsid w:val="60A32AE1"/>
    <w:rsid w:val="60A70823"/>
    <w:rsid w:val="60D740A0"/>
    <w:rsid w:val="60E03A3F"/>
    <w:rsid w:val="60E7755F"/>
    <w:rsid w:val="60F44BB2"/>
    <w:rsid w:val="60FC7AA0"/>
    <w:rsid w:val="610537C5"/>
    <w:rsid w:val="61105489"/>
    <w:rsid w:val="611F525D"/>
    <w:rsid w:val="612B536C"/>
    <w:rsid w:val="61616617"/>
    <w:rsid w:val="617050B9"/>
    <w:rsid w:val="61C45FCD"/>
    <w:rsid w:val="61C9419A"/>
    <w:rsid w:val="61D946BF"/>
    <w:rsid w:val="623E159C"/>
    <w:rsid w:val="628F0484"/>
    <w:rsid w:val="62966DA1"/>
    <w:rsid w:val="632D4A7C"/>
    <w:rsid w:val="639E0012"/>
    <w:rsid w:val="63AA623B"/>
    <w:rsid w:val="63AE011A"/>
    <w:rsid w:val="63E0034F"/>
    <w:rsid w:val="63EF7FE6"/>
    <w:rsid w:val="640967E0"/>
    <w:rsid w:val="642F4E26"/>
    <w:rsid w:val="646A6D32"/>
    <w:rsid w:val="646B1B68"/>
    <w:rsid w:val="64754CBD"/>
    <w:rsid w:val="64A25969"/>
    <w:rsid w:val="64C34F37"/>
    <w:rsid w:val="64CF20F6"/>
    <w:rsid w:val="64E77440"/>
    <w:rsid w:val="65210A14"/>
    <w:rsid w:val="6567294F"/>
    <w:rsid w:val="65846AD9"/>
    <w:rsid w:val="658573A2"/>
    <w:rsid w:val="659122DB"/>
    <w:rsid w:val="65E227E2"/>
    <w:rsid w:val="6602064E"/>
    <w:rsid w:val="660A5ADC"/>
    <w:rsid w:val="661C4B3F"/>
    <w:rsid w:val="66310784"/>
    <w:rsid w:val="66487675"/>
    <w:rsid w:val="66775D1A"/>
    <w:rsid w:val="6683763C"/>
    <w:rsid w:val="668D6299"/>
    <w:rsid w:val="66AD46B9"/>
    <w:rsid w:val="66DF1120"/>
    <w:rsid w:val="66E23E7A"/>
    <w:rsid w:val="66F47D24"/>
    <w:rsid w:val="671A1B7E"/>
    <w:rsid w:val="67766890"/>
    <w:rsid w:val="678968B7"/>
    <w:rsid w:val="678B4557"/>
    <w:rsid w:val="67B83EE0"/>
    <w:rsid w:val="6852376A"/>
    <w:rsid w:val="68553DF8"/>
    <w:rsid w:val="689E4C6B"/>
    <w:rsid w:val="68A13FCF"/>
    <w:rsid w:val="68A75B06"/>
    <w:rsid w:val="68BD5CFA"/>
    <w:rsid w:val="68C857DA"/>
    <w:rsid w:val="68CF6B8B"/>
    <w:rsid w:val="68E972B4"/>
    <w:rsid w:val="68ED7B6D"/>
    <w:rsid w:val="68F0212D"/>
    <w:rsid w:val="69094261"/>
    <w:rsid w:val="691863AE"/>
    <w:rsid w:val="691C6622"/>
    <w:rsid w:val="69304BB7"/>
    <w:rsid w:val="695827C3"/>
    <w:rsid w:val="6994390F"/>
    <w:rsid w:val="69A52130"/>
    <w:rsid w:val="69AD29EB"/>
    <w:rsid w:val="69EE0B66"/>
    <w:rsid w:val="69F3316C"/>
    <w:rsid w:val="6A34524E"/>
    <w:rsid w:val="6A4D243B"/>
    <w:rsid w:val="6A7A2633"/>
    <w:rsid w:val="6A8370BA"/>
    <w:rsid w:val="6A9516EC"/>
    <w:rsid w:val="6AA33303"/>
    <w:rsid w:val="6AB91C86"/>
    <w:rsid w:val="6ABC73C2"/>
    <w:rsid w:val="6B0A7836"/>
    <w:rsid w:val="6B193582"/>
    <w:rsid w:val="6B2A2B2E"/>
    <w:rsid w:val="6B670866"/>
    <w:rsid w:val="6B916101"/>
    <w:rsid w:val="6BE54CDF"/>
    <w:rsid w:val="6C07239D"/>
    <w:rsid w:val="6C253AF1"/>
    <w:rsid w:val="6C411B3A"/>
    <w:rsid w:val="6CAC11BB"/>
    <w:rsid w:val="6D6467EB"/>
    <w:rsid w:val="6D6A043F"/>
    <w:rsid w:val="6D6A641D"/>
    <w:rsid w:val="6D6F23D4"/>
    <w:rsid w:val="6D8C327A"/>
    <w:rsid w:val="6DB3447D"/>
    <w:rsid w:val="6DE529E8"/>
    <w:rsid w:val="6E1139D6"/>
    <w:rsid w:val="6E18628B"/>
    <w:rsid w:val="6E4C47B8"/>
    <w:rsid w:val="6E845AC1"/>
    <w:rsid w:val="6EFF1436"/>
    <w:rsid w:val="6F191C51"/>
    <w:rsid w:val="6F2B6AC3"/>
    <w:rsid w:val="6F2D20F2"/>
    <w:rsid w:val="6F2D32E0"/>
    <w:rsid w:val="6F39694E"/>
    <w:rsid w:val="6F63000B"/>
    <w:rsid w:val="6F671A2E"/>
    <w:rsid w:val="6F98301C"/>
    <w:rsid w:val="6FF724DB"/>
    <w:rsid w:val="6FF83AFE"/>
    <w:rsid w:val="70087D6A"/>
    <w:rsid w:val="701632CF"/>
    <w:rsid w:val="701B40CD"/>
    <w:rsid w:val="70670209"/>
    <w:rsid w:val="70982EF4"/>
    <w:rsid w:val="70AC5DF4"/>
    <w:rsid w:val="70B977CB"/>
    <w:rsid w:val="70F2692B"/>
    <w:rsid w:val="71064AF4"/>
    <w:rsid w:val="711F580A"/>
    <w:rsid w:val="713C5D9A"/>
    <w:rsid w:val="7150006D"/>
    <w:rsid w:val="716C426B"/>
    <w:rsid w:val="7195129E"/>
    <w:rsid w:val="71AF363E"/>
    <w:rsid w:val="71B73C7E"/>
    <w:rsid w:val="71BC4F4E"/>
    <w:rsid w:val="71CF7C75"/>
    <w:rsid w:val="71F63D03"/>
    <w:rsid w:val="71F926D2"/>
    <w:rsid w:val="720522B5"/>
    <w:rsid w:val="72083B25"/>
    <w:rsid w:val="723A07D2"/>
    <w:rsid w:val="72572EB0"/>
    <w:rsid w:val="72602640"/>
    <w:rsid w:val="72660971"/>
    <w:rsid w:val="72A55D78"/>
    <w:rsid w:val="72B96833"/>
    <w:rsid w:val="72BA4DBA"/>
    <w:rsid w:val="72EE0A4D"/>
    <w:rsid w:val="733F2B3D"/>
    <w:rsid w:val="7344725E"/>
    <w:rsid w:val="73B77D63"/>
    <w:rsid w:val="73C471BF"/>
    <w:rsid w:val="73D2266C"/>
    <w:rsid w:val="73E155D1"/>
    <w:rsid w:val="73E82D35"/>
    <w:rsid w:val="74223BCE"/>
    <w:rsid w:val="7431138A"/>
    <w:rsid w:val="74542ED2"/>
    <w:rsid w:val="74544DC8"/>
    <w:rsid w:val="74DC4FF8"/>
    <w:rsid w:val="752979D6"/>
    <w:rsid w:val="7538713A"/>
    <w:rsid w:val="753D41F9"/>
    <w:rsid w:val="75661C27"/>
    <w:rsid w:val="756A2F68"/>
    <w:rsid w:val="758A60E9"/>
    <w:rsid w:val="758E3908"/>
    <w:rsid w:val="759D71E5"/>
    <w:rsid w:val="75E0068F"/>
    <w:rsid w:val="75EE4DFD"/>
    <w:rsid w:val="761626F1"/>
    <w:rsid w:val="76384713"/>
    <w:rsid w:val="765650CF"/>
    <w:rsid w:val="767B3B74"/>
    <w:rsid w:val="7682505B"/>
    <w:rsid w:val="76B66485"/>
    <w:rsid w:val="76C03CD0"/>
    <w:rsid w:val="76E33DBD"/>
    <w:rsid w:val="773E13B6"/>
    <w:rsid w:val="7740713D"/>
    <w:rsid w:val="7742330E"/>
    <w:rsid w:val="775A4620"/>
    <w:rsid w:val="77626026"/>
    <w:rsid w:val="777F3772"/>
    <w:rsid w:val="77D03EE8"/>
    <w:rsid w:val="77F33200"/>
    <w:rsid w:val="781225CE"/>
    <w:rsid w:val="781748C8"/>
    <w:rsid w:val="78852BA7"/>
    <w:rsid w:val="78A65B14"/>
    <w:rsid w:val="78A85C82"/>
    <w:rsid w:val="78B139DF"/>
    <w:rsid w:val="78B74784"/>
    <w:rsid w:val="78CE58AE"/>
    <w:rsid w:val="79067636"/>
    <w:rsid w:val="7907447D"/>
    <w:rsid w:val="791574E6"/>
    <w:rsid w:val="79306C2F"/>
    <w:rsid w:val="79AC5121"/>
    <w:rsid w:val="79C97F88"/>
    <w:rsid w:val="79D2273D"/>
    <w:rsid w:val="79E73EE9"/>
    <w:rsid w:val="79F309DD"/>
    <w:rsid w:val="79F7287E"/>
    <w:rsid w:val="7A1268B5"/>
    <w:rsid w:val="7A2E4BCF"/>
    <w:rsid w:val="7A6B766E"/>
    <w:rsid w:val="7A801042"/>
    <w:rsid w:val="7A9707C5"/>
    <w:rsid w:val="7AB249EB"/>
    <w:rsid w:val="7AB307F3"/>
    <w:rsid w:val="7ACF5207"/>
    <w:rsid w:val="7AED7587"/>
    <w:rsid w:val="7AF0609B"/>
    <w:rsid w:val="7AFC0051"/>
    <w:rsid w:val="7B160627"/>
    <w:rsid w:val="7B452CBB"/>
    <w:rsid w:val="7B644A99"/>
    <w:rsid w:val="7B7C0170"/>
    <w:rsid w:val="7B8857F3"/>
    <w:rsid w:val="7B8C59B7"/>
    <w:rsid w:val="7B987878"/>
    <w:rsid w:val="7B99423B"/>
    <w:rsid w:val="7BBA7205"/>
    <w:rsid w:val="7BC02FAC"/>
    <w:rsid w:val="7C0E374D"/>
    <w:rsid w:val="7C0E376A"/>
    <w:rsid w:val="7C1401B7"/>
    <w:rsid w:val="7C1A3FF5"/>
    <w:rsid w:val="7C420B9B"/>
    <w:rsid w:val="7CCE3522"/>
    <w:rsid w:val="7CFB5D27"/>
    <w:rsid w:val="7D0034C4"/>
    <w:rsid w:val="7D233C9E"/>
    <w:rsid w:val="7D7C049A"/>
    <w:rsid w:val="7DF00F37"/>
    <w:rsid w:val="7DF1126A"/>
    <w:rsid w:val="7E1621A7"/>
    <w:rsid w:val="7E2145C3"/>
    <w:rsid w:val="7E2F305E"/>
    <w:rsid w:val="7E9A2EC2"/>
    <w:rsid w:val="7EBB60BF"/>
    <w:rsid w:val="7EE43BC5"/>
    <w:rsid w:val="7EE86C91"/>
    <w:rsid w:val="7EF11DCD"/>
    <w:rsid w:val="7EFC400F"/>
    <w:rsid w:val="7F080068"/>
    <w:rsid w:val="7F3E639F"/>
    <w:rsid w:val="7F642801"/>
    <w:rsid w:val="7F7777D2"/>
    <w:rsid w:val="7F855AF4"/>
    <w:rsid w:val="7FCB709D"/>
    <w:rsid w:val="7FCC298D"/>
    <w:rsid w:val="7FE17456"/>
    <w:rsid w:val="7FEF5E0B"/>
    <w:rsid w:val="7FF47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4"/>
      <w:szCs w:val="24"/>
      <w:lang w:val="en-US" w:eastAsia="zh-CN" w:bidi="ar-SA"/>
    </w:rPr>
  </w:style>
  <w:style w:type="paragraph" w:styleId="2">
    <w:name w:val="heading 1"/>
    <w:basedOn w:val="3"/>
    <w:next w:val="1"/>
    <w:link w:val="20"/>
    <w:qFormat/>
    <w:uiPriority w:val="0"/>
    <w:pPr>
      <w:snapToGrid w:val="0"/>
      <w:spacing w:before="120" w:after="120"/>
      <w:outlineLvl w:val="0"/>
    </w:pPr>
    <w:rPr>
      <w:sz w:val="28"/>
    </w:rPr>
  </w:style>
  <w:style w:type="paragraph" w:styleId="3">
    <w:name w:val="heading 2"/>
    <w:basedOn w:val="1"/>
    <w:next w:val="1"/>
    <w:link w:val="21"/>
    <w:qFormat/>
    <w:uiPriority w:val="0"/>
    <w:pPr>
      <w:keepNext/>
      <w:keepLines/>
      <w:jc w:val="center"/>
      <w:outlineLvl w:val="1"/>
    </w:pPr>
    <w:rPr>
      <w:rFonts w:eastAsia="黑体"/>
      <w:b/>
    </w:rPr>
  </w:style>
  <w:style w:type="paragraph" w:styleId="4">
    <w:name w:val="heading 3"/>
    <w:basedOn w:val="1"/>
    <w:next w:val="1"/>
    <w:link w:val="24"/>
    <w:qFormat/>
    <w:uiPriority w:val="0"/>
    <w:pPr>
      <w:keepNext/>
      <w:keepLines/>
      <w:spacing w:before="260" w:after="260" w:line="413" w:lineRule="auto"/>
      <w:outlineLvl w:val="2"/>
    </w:pPr>
    <w:rPr>
      <w:b/>
    </w:rPr>
  </w:style>
  <w:style w:type="paragraph" w:styleId="5">
    <w:name w:val="heading 4"/>
    <w:basedOn w:val="1"/>
    <w:next w:val="1"/>
    <w:link w:val="23"/>
    <w:qFormat/>
    <w:uiPriority w:val="0"/>
    <w:pPr>
      <w:keepNext/>
      <w:keepLines/>
      <w:spacing w:before="280" w:after="290" w:line="372" w:lineRule="auto"/>
      <w:outlineLvl w:val="3"/>
    </w:pPr>
    <w:rPr>
      <w:rFonts w:ascii="Arial" w:hAnsi="Arial"/>
      <w:b/>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style>
  <w:style w:type="paragraph" w:styleId="7">
    <w:name w:val="Body Text"/>
    <w:basedOn w:val="1"/>
    <w:qFormat/>
    <w:uiPriority w:val="0"/>
    <w:pPr>
      <w:spacing w:after="120"/>
    </w:pPr>
  </w:style>
  <w:style w:type="paragraph" w:styleId="8">
    <w:name w:val="Body Text Indent"/>
    <w:basedOn w:val="1"/>
    <w:qFormat/>
    <w:uiPriority w:val="0"/>
    <w:pPr>
      <w:ind w:firstLine="720" w:firstLineChars="300"/>
    </w:pPr>
    <w:rPr>
      <w:rFonts w:eastAsia="宋体"/>
      <w:sz w:val="24"/>
      <w:szCs w:val="24"/>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Normal (Web)"/>
    <w:basedOn w:val="1"/>
    <w:qFormat/>
    <w:uiPriority w:val="0"/>
  </w:style>
  <w:style w:type="paragraph" w:styleId="14">
    <w:name w:val="Body Text First Indent 2"/>
    <w:basedOn w:val="8"/>
    <w:next w:val="1"/>
    <w:unhideWhenUsed/>
    <w:qFormat/>
    <w:uiPriority w:val="99"/>
    <w:pPr>
      <w:ind w:firstLine="64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标题 1 Char"/>
    <w:link w:val="2"/>
    <w:qFormat/>
    <w:uiPriority w:val="0"/>
    <w:rPr>
      <w:rFonts w:ascii="Times New Roman" w:hAnsi="Times New Roman" w:eastAsia="黑体" w:cs="Times New Roman"/>
      <w:b/>
      <w:kern w:val="2"/>
      <w:sz w:val="28"/>
      <w:szCs w:val="24"/>
      <w:lang w:val="en-US" w:eastAsia="zh-CN" w:bidi="ar-SA"/>
    </w:rPr>
  </w:style>
  <w:style w:type="character" w:customStyle="1" w:styleId="21">
    <w:name w:val="标题 2 Char"/>
    <w:link w:val="3"/>
    <w:qFormat/>
    <w:uiPriority w:val="0"/>
    <w:rPr>
      <w:rFonts w:ascii="Times New Roman" w:hAnsi="Times New Roman" w:eastAsia="黑体" w:cs="Times New Roman"/>
      <w:b/>
      <w:kern w:val="2"/>
      <w:sz w:val="24"/>
      <w:szCs w:val="24"/>
      <w:lang w:val="en-US" w:eastAsia="zh-CN" w:bidi="ar-SA"/>
    </w:rPr>
  </w:style>
  <w:style w:type="character" w:customStyle="1" w:styleId="22">
    <w:name w:val="标题 3 字符"/>
    <w:qFormat/>
    <w:uiPriority w:val="0"/>
    <w:rPr>
      <w:rFonts w:ascii="Times New Roman" w:hAnsi="Times New Roman" w:eastAsia="宋体"/>
      <w:b/>
      <w:sz w:val="24"/>
    </w:rPr>
  </w:style>
  <w:style w:type="character" w:customStyle="1" w:styleId="23">
    <w:name w:val="标题 4 Char"/>
    <w:link w:val="5"/>
    <w:qFormat/>
    <w:uiPriority w:val="0"/>
    <w:rPr>
      <w:rFonts w:ascii="Arial" w:hAnsi="Arial" w:eastAsia="宋体"/>
      <w:b/>
      <w:sz w:val="24"/>
    </w:rPr>
  </w:style>
  <w:style w:type="character" w:customStyle="1" w:styleId="24">
    <w:name w:val="标题 3 Char"/>
    <w:link w:val="4"/>
    <w:autoRedefine/>
    <w:qFormat/>
    <w:uiPriority w:val="0"/>
    <w:rPr>
      <w:rFonts w:ascii="Times New Roman" w:hAnsi="Times New Roman" w:eastAsia="宋体"/>
      <w:b/>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38b71842-ff44-4193-b877-74d42a5875c2</errorID>
      <errorWord>T/SICBIA006-2026</errorWord>
      <group>L1_Other</group>
      <groupName>其他问题</groupName>
      <ability>L2_Consistency</ability>
      <abilityName>一致性检查</abilityName>
      <candidateList>
        <item>T/SICBIA  006-2026</item>
      </candidateList>
      <explain>数字一致性错误，标准编号格式与前文不一致，空格排版后内容统一</explain>
      <paraID>1A743B85</paraID>
      <start>0</start>
      <end>18</end>
      <status>modified</status>
      <modifiedWord>T/SICBIA  006-2026</modifiedWord>
      <trackRevisions>false</trackRevisions>
    </reviewItem>
    <reviewItem>
      <errorID>08a04c7e-3f37-4365-a360-198f090fa592</errorID>
      <errorWord>：</errorWord>
      <group>L1_Punc</group>
      <groupName>标点问题</groupName>
      <ability>L2_Punc_CN</ability>
      <abilityName>标点符号问题</abilityName>
      <candidateList>
        <item>、</item>
      </candidateList>
      <explain/>
      <paraID>7568C67E</paraID>
      <start>86</start>
      <end>87</end>
      <status>ignored</status>
      <modifiedWord/>
      <trackRevisions>false</trackRevisions>
    </reviewItem>
    <reviewItem>
      <errorID>fbf79294-05c2-4002-ad14-08c2d2d81e7d</errorID>
      <errorWord>：</errorWord>
      <group>L1_Punc</group>
      <groupName>标点问题</groupName>
      <ability>L2_Punc_CN</ability>
      <abilityName>标点符号问题</abilityName>
      <candidateList>
        <item>、</item>
      </candidateList>
      <explain/>
      <paraID>7568C67E</paraID>
      <start>89</start>
      <end>90</end>
      <status>ignored</status>
      <modifiedWord/>
      <trackRevisions>false</trackRevisions>
    </reviewItem>
    <reviewItem>
      <errorID>1569f4b4-4e41-4aae-93a8-8b1f5778ff16</errorID>
      <errorWord>：</errorWord>
      <group>L1_Punc</group>
      <groupName>标点问题</groupName>
      <ability>L2_Punc_CN</ability>
      <abilityName>标点符号问题</abilityName>
      <candidateList>
        <item>、</item>
      </candidateList>
      <explain/>
      <paraID>7568C67E</paraID>
      <start>92</start>
      <end>93</end>
      <status>ignored</status>
      <modifiedWord/>
      <trackRevisions>false</trackRevisions>
    </reviewItem>
    <reviewItem>
      <errorID>853fa26c-5534-4dfd-8615-04abf32b4496</errorID>
      <errorWord>，</errorWord>
      <group>L1_Punc</group>
      <groupName>标点问题</groupName>
      <ability>L2_Punc_CN</ability>
      <abilityName>标点符号问题</abilityName>
      <candidateList>
        <item/>
      </candidateList>
      <explain/>
      <paraID>2C54E5AB</paraID>
      <start>35</start>
      <end>35</end>
      <status>modified</status>
      <modifiedWord/>
      <trackRevisions>false</trackRevisions>
    </reviewItem>
    <reviewItem>
      <errorID>c947505e-d0c1-40fa-b2c0-3ad7b6e3c06a</errorID>
      <errorWord> </errorWord>
      <group>L1_Punc</group>
      <groupName>标点问题</groupName>
      <ability>L2_Punc_CN</ability>
      <abilityName>标点符号问题</abilityName>
      <candidateList>
        <item/>
      </candidateList>
      <explain>此处空格冗余，建议删除。</explain>
      <paraID>75056267</paraID>
      <start>18</start>
      <end>18</end>
      <status>modified</status>
      <modifiedWord/>
      <trackRevisions>false</trackRevisions>
    </reviewItem>
    <reviewItem>
      <errorID>c44c9de1-3dab-4e0f-8cc6-954f8fe54b5e</errorID>
      <errorWord> </errorWord>
      <group>L1_Punc</group>
      <groupName>标点问题</groupName>
      <ability>L2_Punc_CN</ability>
      <abilityName>标点符号问题</abilityName>
      <candidateList>
        <item/>
      </candidateList>
      <explain>此处空格冗余，建议删除。</explain>
      <paraID>1D5E4E4F</paraID>
      <start>19</start>
      <end>19</end>
      <status>modified</status>
      <modifiedWord/>
      <trackRevisions>false</trackRevisions>
    </reviewItem>
    <reviewItem>
      <errorID>f67d88ba-1315-4754-96ee-32f5dc047e84</errorID>
      <errorWord> </errorWord>
      <group>L1_Punc</group>
      <groupName>标点问题</groupName>
      <ability>L2_Punc_CN</ability>
      <abilityName>标点符号问题</abilityName>
      <candidateList>
        <item/>
      </candidateList>
      <explain>此处空格冗余，建议删除。</explain>
      <paraID>2B61645B</paraID>
      <start>5</start>
      <end>5</end>
      <status>modified</status>
      <modifiedWord/>
      <trackRevisions>false</trackRevisions>
    </reviewItem>
    <reviewItem>
      <errorID>c71dfe47-8137-48bb-8fbf-fb290b4e28ca</errorID>
      <errorWord> </errorWord>
      <group>L1_Punc</group>
      <groupName>标点问题</groupName>
      <ability>L2_Punc_CN</ability>
      <abilityName>标点符号问题</abilityName>
      <candidateList>
        <item/>
      </candidateList>
      <explain>此处空格冗余，建议删除。</explain>
      <paraID>3791D622</paraID>
      <start>5</start>
      <end>5</end>
      <status>modified</status>
      <modifiedWord/>
      <trackRevisions>false</trackRevisions>
    </reviewItem>
    <reviewItem>
      <errorID>00dd8cde-7498-48ae-a959-15a395d9c54d</errorID>
      <errorWord> </errorWord>
      <group>L1_Punc</group>
      <groupName>标点问题</groupName>
      <ability>L2_Punc_CN</ability>
      <abilityName>标点符号问题</abilityName>
      <candidateList>
        <item/>
      </candidateList>
      <explain>此处空格冗余，建议删除。</explain>
      <paraID>50AABC67</paraID>
      <start>5</start>
      <end>5</end>
      <status>modified</status>
      <modifiedWord/>
      <trackRevisions>false</trackRevisions>
    </reviewItem>
    <reviewItem>
      <errorID>477e5150-a4d8-4eb1-9fde-83f883193a5f</errorID>
      <errorWord>5027</errorWord>
      <group>L1_Grammar</group>
      <groupName>语法问题</groupName>
      <ability>L2_Grammar</ability>
      <abilityName>语法错误</abilityName>
      <candidateList>
        <item>T 5027</item>
      </candidateList>
      <explain/>
      <paraID>6F94ADA7</paraID>
      <start>109</start>
      <end>115</end>
      <status>modified</status>
      <modifiedWord>T 5027</modifiedWord>
      <trackRevisions>false</trackRevisions>
    </reviewItem>
    <reviewItem>
      <errorID>f6de2e05-73a1-4bba-aa1e-30e8e0b5ccf3</errorID>
      <errorWord>DB J51/T 272</errorWord>
      <group>L1_Other</group>
      <groupName>其他问题</groupName>
      <ability>L2_Consistency</ability>
      <abilityName>一致性检查</abilityName>
      <candidateList>
        <item>DBJ51/T 272</item>
      </candidateList>
      <explain>数字一致性错误，地方标准编号格式与后文多处出现的DBJ51/T 272不一致，需统一格式</explain>
      <paraID>149AFEC3</paraID>
      <start>64</start>
      <end>75</end>
      <status>modified</status>
      <modifiedWord>DBJ51/T 272</modifiedWord>
      <trackRevisions>false</trackRevisions>
    </reviewItem>
    <reviewItem>
      <errorID>01093290-4508-44c2-993f-c5f7ae55a9d2</errorID>
      <errorWord>GB50017</errorWord>
      <group>L1_Word</group>
      <groupName>字词问题</groupName>
      <ability>L2_Typo</ability>
      <abilityName>字词错误</abilityName>
      <candidateList>
        <item>GB 50017</item>
      </candidateList>
      <explain/>
      <paraID>235C6930</paraID>
      <start>84</start>
      <end>92</end>
      <status>modified</status>
      <modifiedWord>GB 50017</modifiedWord>
      <trackRevisions>false</trackRevisions>
    </reviewItem>
    <reviewItem>
      <errorID>5895bebf-fba0-4d55-8c06-4c71b26174ab</errorID>
      <errorWord>GB50153</errorWord>
      <group>L1_Word</group>
      <groupName>字词问题</groupName>
      <ability>L2_Typo</ability>
      <abilityName>字词错误</abilityName>
      <candidateList>
        <item>GB 50153</item>
      </candidateList>
      <explain/>
      <paraID>5E29E26C</paraID>
      <start>56</start>
      <end>64</end>
      <status>modified</status>
      <modifiedWord>GB 50153</modifiedWord>
      <trackRevisions>false</trackRevisions>
    </reviewItem>
    <reviewItem>
      <errorID>0ada23e8-8284-4b74-bab3-23f7cabfaff4</errorID>
      <errorWord>，</errorWord>
      <group>L1_Punc</group>
      <groupName>标点问题</groupName>
      <ability>L2_Punc_CN</ability>
      <abilityName>标点符号问题</abilityName>
      <candidateList>
        <item>；</item>
      </candidateList>
      <explain/>
      <paraID> 8929200</paraID>
      <start>23</start>
      <end>24</end>
      <status>modified</status>
      <modifiedWord>；</modifiedWord>
      <trackRevisions>false</trackRevisions>
    </reviewItem>
    <reviewItem>
      <errorID>6416d426-6309-4a39-b701-586ae5ced105</errorID>
      <errorWord>不</errorWord>
      <group>L1_Grammar</group>
      <groupName>语法问题</groupName>
      <ability>L2_Grammar</ability>
      <abilityName>语法错误</abilityName>
      <candidateList>
        <item>的纵筋不</item>
      </candidateList>
      <explain/>
      <paraID>6CDE5892</paraID>
      <start>59</start>
      <end>63</end>
      <status>modified</status>
      <modifiedWord>的纵筋不</modifiedWord>
      <trackRevisions>false</trackRevisions>
    </reviewItem>
    <reviewItem>
      <errorID>0d7828de-2f3e-4b42-9096-16ac26129b92</errorID>
      <errorWord>纵</errorWord>
      <group>L1_Word</group>
      <groupName>字词问题</groupName>
      <ability>L2_Typo</ability>
      <abilityName>字词错误</abilityName>
      <candidateList>
        <item>，箍</item>
      </candidateList>
      <explain/>
      <paraID>6CDE5892</paraID>
      <start>70</start>
      <end>72</end>
      <status>modified</status>
      <modifiedWord>，箍</modifiedWord>
      <trackRevisions>false</trackRevisions>
    </reviewItem>
    <reviewItem>
      <errorID>489effbe-7ac0-45a8-a946-f07e9f12fc43</errorID>
      <errorWord>和</errorWord>
      <group>L1_Grammar</group>
      <groupName>语法问题</groupName>
      <ability>L2_Grammar</ability>
      <abilityName>语法错误</abilityName>
      <candidateList>
        <item>不应小于</item>
      </candidateList>
      <explain/>
      <paraID>6CDE5892</paraID>
      <start>73</start>
      <end>77</end>
      <status>modified</status>
      <modifiedWord>不应小于</modifiedWord>
      <trackRevisions>false</trackRevisions>
    </reviewItem>
    <reviewItem>
      <errorID>05030292-9b01-46ee-a217-117d07b66c5d</errorID>
      <errorWord>200箍筋</errorWord>
      <group>L1_Grammar</group>
      <groupName>语法问题</groupName>
      <ability>L2_Grammar</ability>
      <abilityName>语法错误</abilityName>
      <candidateList>
        <item>200</item>
      </candidateList>
      <explain/>
      <paraID>6CDE5892</paraID>
      <start>80</start>
      <end>83</end>
      <status>modified</status>
      <modifiedWord>200</modifiedWord>
      <trackRevisions>false</trackRevisions>
    </reviewItem>
    <reviewItem>
      <errorID>a4d7b352-6f28-4498-aa9c-a4c9e8f66b4e</errorID>
      <errorWord>168</errorWord>
      <group>L1_Grammar</group>
      <groupName>语法问题</groupName>
      <ability>L2_Grammar</ability>
      <abilityName>语法错误</abilityName>
      <candidateList>
        <item>T 168</item>
      </candidateList>
      <explain/>
      <paraID>2F330DE2</paraID>
      <start>44</start>
      <end>49</end>
      <status>modified</status>
      <modifiedWord>T 168</modifiedWord>
      <trackRevisions>false</trackRevisions>
    </reviewItem>
    <reviewItem>
      <errorID>03cb0a12-9c43-46b2-8fcc-edc4f631ded2</errorID>
      <errorWord>暗装</errorWord>
      <group>L1_Word</group>
      <groupName>字词问题</groupName>
      <ability>L2_Typo</ability>
      <abilityName>字词错误</abilityName>
      <candidateList>
        <item>安装</item>
      </candidateList>
      <explain/>
      <paraID>50BC23AB</paraID>
      <start>15</start>
      <end>17</end>
      <status>ignored</status>
      <modifiedWord/>
      <trackRevisions>false</trackRevisions>
    </reviewItem>
    <reviewItem>
      <errorID>a9162754-00d4-4d7c-9d30-80ac6e19c419</errorID>
      <errorWord>；</errorWord>
      <group>L1_Punc</group>
      <groupName>标点问题</groupName>
      <ability>L2_Punc_CN</ability>
      <abilityName>标点符号问题</abilityName>
      <candidateList>
        <item>。</item>
      </candidateList>
      <explain/>
      <paraID>50BC23AB</paraID>
      <start>36</start>
      <end>37</end>
      <status>modified</status>
      <modifiedWord>。</modifiedWord>
      <trackRevisions>false</trackRevisions>
    </reviewItem>
    <reviewItem>
      <errorID>eac2af44-10e1-4648-b6c6-45871d8672fc</errorID>
      <errorWord> </errorWord>
      <group>L1_Punc</group>
      <groupName>标点问题</groupName>
      <ability>L2_Punc_CN</ability>
      <abilityName>标点符号问题</abilityName>
      <candidateList>
        <item>.</item>
      </candidateList>
      <explain/>
      <paraID>5CB125DF</paraID>
      <start>1</start>
      <end>2</end>
      <status>ignored</status>
      <modifiedWord/>
      <trackRevisions>false</trackRevisions>
    </reviewItem>
    <reviewItem>
      <errorID>a7a52f70-e905-4632-ba3e-757b7fe32097</errorID>
      <errorWord>；</errorWord>
      <group>L1_Punc</group>
      <groupName>标点问题</groupName>
      <ability>L2_Punc_CN</ability>
      <abilityName>标点符号问题</abilityName>
      <candidateList>
        <item>。</item>
      </candidateList>
      <explain/>
      <paraID>5CB125DF</paraID>
      <start>50</start>
      <end>51</end>
      <status>modified</status>
      <modifiedWord>。</modifiedWord>
      <trackRevisions>false</trackRevisions>
    </reviewItem>
    <reviewItem>
      <errorID>cf5d398d-0408-4d84-b27e-9aa5f466bb47</errorID>
      <errorWord>；</errorWord>
      <group>L1_Punc</group>
      <groupName>标点问题</groupName>
      <ability>L2_Punc_CN</ability>
      <abilityName>标点符号问题</abilityName>
      <candidateList>
        <item>。</item>
      </candidateList>
      <explain/>
      <paraID>5CB125DF</paraID>
      <start>66</start>
      <end>67</end>
      <status>modified</status>
      <modifiedWord>。</modifiedWord>
      <trackRevisions>false</trackRevisions>
    </reviewItem>
    <reviewItem>
      <errorID>71963644-7c71-4fff-bcf8-e5f577474a19</errorID>
      <errorWord> </errorWord>
      <group>L1_Punc</group>
      <groupName>标点问题</groupName>
      <ability>L2_Punc_CN</ability>
      <abilityName>标点符号问题</abilityName>
      <candidateList>
        <item>.</item>
      </candidateList>
      <explain/>
      <paraID> 2EE6435</paraID>
      <start>1</start>
      <end>2</end>
      <status>ignored</status>
      <modifiedWord/>
      <trackRevisions>false</trackRevisions>
    </reviewItem>
    <reviewItem>
      <errorID>47972dea-033b-47c6-8801-be8d98ffa086</errorID>
      <errorWord> </errorWord>
      <group>L1_Punc</group>
      <groupName>标点问题</groupName>
      <ability>L2_Punc_CN</ability>
      <abilityName>标点符号问题</abilityName>
      <candidateList>
        <item>.</item>
      </candidateList>
      <explain/>
      <paraID> E870266</paraID>
      <start>1</start>
      <end>2</end>
      <status>ignored</status>
      <modifiedWord/>
      <trackRevisions>false</trackRevisions>
    </reviewItem>
    <reviewItem>
      <errorID>b652112e-cdac-4367-8c88-66d7134aaef9</errorID>
      <errorWord> </errorWord>
      <group>L1_Punc</group>
      <groupName>标点问题</groupName>
      <ability>L2_Punc_CN</ability>
      <abilityName>标点符号问题</abilityName>
      <candidateList>
        <item>.</item>
      </candidateList>
      <explain/>
      <paraID>6C73BEEC</paraID>
      <start>1</start>
      <end>2</end>
      <status>ignored</status>
      <modifiedWord/>
      <trackRevisions>false</trackRevisions>
    </reviewItem>
    <reviewItem>
      <errorID>750db1b5-b9f4-49f1-8cfa-281bdfdb8e44</errorID>
      <errorWord> </errorWord>
      <group>L1_Punc</group>
      <groupName>标点问题</groupName>
      <ability>L2_Punc_CN</ability>
      <abilityName>标点符号问题</abilityName>
      <candidateList>
        <item>.</item>
      </candidateList>
      <explain/>
      <paraID> 42A11C9</paraID>
      <start>1</start>
      <end>2</end>
      <status>ignored</status>
      <modifiedWord/>
      <trackRevisions>false</trackRevisions>
    </reviewItem>
    <reviewItem>
      <errorID>03c66af2-3993-4008-850d-e06e0f12b3d6</errorID>
      <errorWord> </errorWord>
      <group>L1_Punc</group>
      <groupName>标点问题</groupName>
      <ability>L2_Punc_CN</ability>
      <abilityName>标点符号问题</abilityName>
      <candidateList>
        <item>.</item>
      </candidateList>
      <explain/>
      <paraID>5CF8FF45</paraID>
      <start>1</start>
      <end>2</end>
      <status>ignored</status>
      <modifiedWord/>
      <trackRevisions>false</trackRevisions>
    </reviewItem>
    <reviewItem>
      <errorID>2c751df8-16bb-4d44-8d17-20dcc51bb6d6</errorID>
      <errorWord> </errorWord>
      <group>L1_Punc</group>
      <groupName>标点问题</groupName>
      <ability>L2_Punc_CN</ability>
      <abilityName>标点符号问题</abilityName>
      <candidateList>
        <item>.</item>
      </candidateList>
      <explain/>
      <paraID>7814F205</paraID>
      <start>1</start>
      <end>2</end>
      <status>ignored</status>
      <modifiedWord/>
      <trackRevisions>false</trackRevisions>
    </reviewItem>
    <reviewItem>
      <errorID>d2dbd277-d51d-4ba8-b463-bd20b5133186</errorID>
      <errorWord>。</errorWord>
      <group>L1_Punc</group>
      <groupName>标点问题</groupName>
      <ability>L2_Punc_CN</ability>
      <abilityName>标点符号问题</abilityName>
      <candidateList>
        <item/>
      </candidateList>
      <explain/>
      <paraID>4F021D10</paraID>
      <start>74</start>
      <end>75</end>
      <status>ignored</status>
      <modifiedWord/>
      <trackRevisions>false</trackRevisions>
    </reviewItem>
    <reviewItem>
      <errorID>8f697f53-e8ad-4f07-9761-e0f52575c1df</errorID>
      <errorWord> </errorWord>
      <group>L1_Punc</group>
      <groupName>标点问题</groupName>
      <ability>L2_Punc_CN</ability>
      <abilityName>标点符号问题</abilityName>
      <candidateList>
        <item>.</item>
      </candidateList>
      <explain/>
      <paraID>20F2FAF4</paraID>
      <start>5</start>
      <end>6</end>
      <status>ignored</status>
      <modifiedWord/>
      <trackRevisions>false</trackRevisions>
    </reviewItem>
    <reviewItem>
      <errorID>3bbdb0ab-a137-45ec-9853-e834ac8af8cc</errorID>
      <errorWord> </errorWord>
      <group>L1_Punc</group>
      <groupName>标点问题</groupName>
      <ability>L2_Punc_CN</ability>
      <abilityName>标点符号问题</abilityName>
      <candidateList>
        <item>.</item>
      </candidateList>
      <explain/>
      <paraID>727810B2</paraID>
      <start>5</start>
      <end>6</end>
      <status>ignored</status>
      <modifiedWord/>
      <trackRevisions>false</trackRevisions>
    </reviewItem>
    <reviewItem>
      <errorID>e457bef6-2e02-41ad-ad8e-587a44348168</errorID>
      <errorWord> </errorWord>
      <group>L1_Punc</group>
      <groupName>标点问题</groupName>
      <ability>L2_Punc_CN</ability>
      <abilityName>标点符号问题</abilityName>
      <candidateList>
        <item>.</item>
      </candidateList>
      <explain/>
      <paraID>75BF720D</paraID>
      <start>5</start>
      <end>6</end>
      <status>ignored</status>
      <modifiedWord/>
      <trackRevisions>false</trackRevisions>
    </reviewItem>
    <reviewItem>
      <errorID>e6bbe135-bea5-4b7f-b873-a9c56bc75989</errorID>
      <errorWord> </errorWord>
      <group>L1_Punc</group>
      <groupName>标点问题</groupName>
      <ability>L2_Punc_CN</ability>
      <abilityName>标点符号问题</abilityName>
      <candidateList>
        <item>.</item>
      </candidateList>
      <explain/>
      <paraID>4D6F12DF</paraID>
      <start>5</start>
      <end>6</end>
      <status>ignored</status>
      <modifiedWord/>
      <trackRevisions>false</trackRevisions>
    </reviewItem>
    <reviewItem>
      <errorID>266791b4-588a-4e46-a76a-cfdac2bcdba0</errorID>
      <errorWord> </errorWord>
      <group>L1_Punc</group>
      <groupName>标点问题</groupName>
      <ability>L2_Punc_CN</ability>
      <abilityName>标点符号问题</abilityName>
      <candidateList>
        <item>.</item>
      </candidateList>
      <explain/>
      <paraID>7D8CCFE2</paraID>
      <start>5</start>
      <end>6</end>
      <status>ignored</status>
      <modifiedWord/>
      <trackRevisions>false</trackRevisions>
    </reviewItem>
    <reviewItem>
      <errorID>bf099e3e-3c4d-46a1-aebe-f86a900eb912</errorID>
      <errorWord>，</errorWord>
      <group>L1_Punc</group>
      <groupName>标点问题</groupName>
      <ability>L2_Punc_CN</ability>
      <abilityName>标点符号问题</abilityName>
      <candidateList>
        <item>。</item>
      </candidateList>
      <explain/>
      <paraID>1B5BDD80</paraID>
      <start>37</start>
      <end>38</end>
      <status>modified</status>
      <modifiedWord>。</modifiedWord>
      <trackRevisions>false</trackRevisions>
    </reviewItem>
    <reviewItem>
      <errorID>f78472a7-3660-46b1-881d-f483acc1e872</errorID>
      <errorWord>  验 </errorWord>
      <group>L1_Grammar</group>
      <groupName>语法问题</groupName>
      <ability>L2_Grammar</ability>
      <abilityName>语法错误</abilityName>
      <candidateList>
        <item>.</item>
      </candidateList>
      <explain/>
      <paraID>47776F2F</paraID>
      <start>1</start>
      <end>5</end>
      <status>ignored</status>
      <modifiedWord/>
      <trackRevisions>false</trackRevisions>
    </reviewItem>
    <reviewItem>
      <errorID>e03321bb-dfec-4e5d-834a-b84e7a80b4f9</errorID>
      <errorWord>收</errorWord>
      <group>L1_Word</group>
      <groupName>字词问题</groupName>
      <ability>L2_Typo</ability>
      <abilityName>字词错误</abilityName>
      <candidateList>
        <item>验收</item>
      </candidateList>
      <explain/>
      <paraID>47776F2F</paraID>
      <start>6</start>
      <end>7</end>
      <status>ignored</status>
      <modifiedWord/>
      <trackRevisions>false</trackRevisions>
    </reviewItem>
    <reviewItem>
      <errorID>c87bc678-c870-4655-bf79-0039601ae093</errorID>
      <errorWord>、</errorWord>
      <group>L1_Punc</group>
      <groupName>标点问题</groupName>
      <ability>L2_Punc_CN</ability>
      <abilityName>标点符号问题</abilityName>
      <candidateList>
        <item>；</item>
      </candidateList>
      <explain/>
      <paraID>562CCFEF</paraID>
      <start>167</start>
      <end>168</end>
      <status>modified</status>
      <modifiedWord>；</modifiedWord>
      <trackRevisions>false</trackRevisions>
    </reviewItem>
    <reviewItem>
      <errorID>c4902c80-cee4-4068-b0cc-aaaa8aa018c4</errorID>
      <errorWord>和</errorWord>
      <group>L1_Word</group>
      <groupName>字词问题</groupName>
      <ability>L2_Typo</ability>
      <abilityName>字词错误</abilityName>
      <candidateList>
        <item>；</item>
      </candidateList>
      <explain/>
      <paraID>562CCFEF</paraID>
      <start>208</start>
      <end>209</end>
      <status>modified</status>
      <modifiedWord>；</modifiedWord>
      <trackRevisions>false</trackRevisions>
    </reviewItem>
    <reviewItem>
      <errorID>31dadb54-5808-457e-abe4-ad48ee07570b</errorID>
      <errorWord> </errorWord>
      <group>L1_Punc</group>
      <groupName>标点问题</groupName>
      <ability>L2_Punc_CN</ability>
      <abilityName>标点符号问题</abilityName>
      <candidateList>
        <item>.</item>
      </candidateList>
      <explain/>
      <paraID>3F42CCB0</paraID>
      <start>1</start>
      <end>2</end>
      <status>ignored</status>
      <modifiedWord/>
      <trackRevisions>false</trackRevisions>
    </reviewItem>
    <reviewItem>
      <errorID>dc3b6859-20cb-49fe-84ba-3874b769f097</errorID>
      <errorWord> </errorWord>
      <group>L1_Punc</group>
      <groupName>标点问题</groupName>
      <ability>L2_Punc_CN</ability>
      <abilityName>标点符号问题</abilityName>
      <candidateList>
        <item>.</item>
      </candidateList>
      <explain/>
      <paraID>7AFAE7CF</paraID>
      <start>1</start>
      <end>2</end>
      <status>ignored</status>
      <modifiedWord/>
      <trackRevisions>false</trackRevisions>
    </reviewItem>
    <reviewItem>
      <errorID>6bab41af-2394-4f4d-ad5e-08cc3ed46e3d</errorID>
      <errorWord> </errorWord>
      <group>L1_Punc</group>
      <groupName>标点问题</groupName>
      <ability>L2_Punc_CN</ability>
      <abilityName>标点符号问题</abilityName>
      <candidateList>
        <item>.</item>
      </candidateList>
      <explain/>
      <paraID> C5209CE</paraID>
      <start>1</start>
      <end>2</end>
      <status>ignored</status>
      <modifiedWord/>
      <trackRevisions>false</trackRevisions>
    </reviewItem>
    <reviewItem>
      <errorID>d40f7ad9-140c-4302-9989-2be73d505f78</errorID>
      <errorWord> </errorWord>
      <group>L1_Punc</group>
      <groupName>标点问题</groupName>
      <ability>L2_Punc_CN</ability>
      <abilityName>标点符号问题</abilityName>
      <candidateList>
        <item>.</item>
      </candidateList>
      <explain/>
      <paraID>36463B6E</paraID>
      <start>1</start>
      <end>2</end>
      <status>ignored</status>
      <modifiedWord/>
      <trackRevisions>false</trackRevisions>
    </reviewItem>
    <reviewItem>
      <errorID>8dafc8fe-ee04-4db9-b75d-0df8b2eeb84f</errorID>
      <errorWord> </errorWord>
      <group>L1_Punc</group>
      <groupName>标点问题</groupName>
      <ability>L2_Punc_CN</ability>
      <abilityName>标点符号问题</abilityName>
      <candidateList>
        <item>.</item>
      </candidateList>
      <explain/>
      <paraID> 757DE41</paraID>
      <start>1</start>
      <end>2</end>
      <status>ignored</status>
      <modifiedWord/>
      <trackRevisions>false</trackRevisions>
    </reviewItem>
    <reviewItem>
      <errorID>fcef4dc1-4a23-42b1-8684-e87a06c3e812</errorID>
      <errorWord> </errorWord>
      <group>L1_Punc</group>
      <groupName>标点问题</groupName>
      <ability>L2_Punc_CN</ability>
      <abilityName>标点符号问题</abilityName>
      <candidateList>
        <item>.</item>
      </candidateList>
      <explain/>
      <paraID>63E63353</paraID>
      <start>1</start>
      <end>2</end>
      <status>ignored</status>
      <modifiedWord/>
      <trackRevisions>false</trackRevisions>
    </reviewItem>
    <reviewItem>
      <errorID>54fc4fdc-7055-4ae9-8695-2d6e2ac059db</errorID>
      <errorWord> </errorWord>
      <group>L1_Punc</group>
      <groupName>标点问题</groupName>
      <ability>L2_Punc_CN</ability>
      <abilityName>标点符号问题</abilityName>
      <candidateList>
        <item>.</item>
      </candidateList>
      <explain/>
      <paraID>6715DB78</paraID>
      <start>1</start>
      <end>2</end>
      <status>ignored</status>
      <modifiedWord/>
      <trackRevisions>false</trackRevisions>
    </reviewItem>
    <reviewItem>
      <errorID>93d3ce29-7922-45ca-90cc-5dc51f01237b</errorID>
      <errorWord> </errorWord>
      <group>L1_Punc</group>
      <groupName>标点问题</groupName>
      <ability>L2_Punc_CN</ability>
      <abilityName>标点符号问题</abilityName>
      <candidateList>
        <item>.</item>
      </candidateList>
      <explain/>
      <paraID>6FE036FF</paraID>
      <start>1</start>
      <end>2</end>
      <status>ignored</status>
      <modifiedWord/>
      <trackRevisions>false</trackRevisions>
    </reviewItem>
    <reviewItem>
      <errorID>564de128-2fcd-4dd4-8984-9b2dc9ba77b3</errorID>
      <errorWord> </errorWord>
      <group>L1_Punc</group>
      <groupName>标点问题</groupName>
      <ability>L2_Punc_CN</ability>
      <abilityName>标点符号问题</abilityName>
      <candidateList>
        <item>.</item>
      </candidateList>
      <explain/>
      <paraID>1CEA4F7E</paraID>
      <start>1</start>
      <end>2</end>
      <status>ignored</status>
      <modifiedWord/>
      <trackRevisions>false</trackRevisions>
    </reviewItem>
    <reviewItem>
      <errorID>75643d81-dfbe-4dd9-a166-26ad8ee41dcc</errorID>
      <errorWord>《</errorWord>
      <group>L1_Punc</group>
      <groupName>标点问题</groupName>
      <ability>L2_Punc_CN</ability>
      <abilityName>标点符号问题</abilityName>
      <candidateList>
        <item>. 《</item>
      </candidateList>
      <explain/>
      <paraID>1F827A58</paraID>
      <start>0</start>
      <end>3</end>
      <status>modified</status>
      <modifiedWord>. 《</modifiedWord>
      <trackRevisions>false</trackRevisions>
    </reviewItem>
    <reviewItem>
      <errorID>f09d7870-b03e-4840-9dc6-785b53814d45</errorID>
      <errorWord>四川省注仓式自保温装配式农房应用技术标准</errorWord>
      <group>L1_Punc</group>
      <groupName>标点问题</groupName>
      <ability>L2_Punc_CN</ability>
      <abilityName>标点符号问题</abilityName>
      <candidateList>
        <item>《四川省注仓式自保温装配式农房应用技术标准》</item>
      </candidateList>
      <explain/>
      <paraID>1B1231F9</paraID>
      <start>0</start>
      <end>20</end>
      <status>ignored</status>
      <modifiedWord/>
      <trackRevisions>false</trackRevisions>
    </reviewItem>
    <reviewItem>
      <errorID>d90dd180-ddcc-49c5-90d0-92e5f10c5acc</errorID>
      <errorWord>注</errorWord>
      <group>L1_Word</group>
      <groupName>字词问题</groupName>
      <ability>L2_Typo</ability>
      <abilityName>字词错误</abilityName>
      <candidateList>
        <item>以注</item>
      </candidateList>
      <explain/>
      <paraID>5AE9C2A0</paraID>
      <start>39</start>
      <end>41</end>
      <status>modified</status>
      <modifiedWord>以注</modifiedWord>
      <trackRevisions>false</trackRevisions>
    </reviewItem>
    <reviewItem>
      <errorID>6bd8758e-dab7-4d88-8bde-48a717927260</errorID>
      <errorWord>：</errorWord>
      <group>L1_Punc</group>
      <groupName>标点问题</groupName>
      <ability>L2_Punc_CN</ability>
      <abilityName>标点符号问题</abilityName>
      <candidateList>
        <item>，</item>
      </candidateList>
      <explain/>
      <paraID>15F81E4B</paraID>
      <start>131</start>
      <end>132</end>
      <status>modified</status>
      <modifiedWord>，</modifiedWord>
      <trackRevisions>false</trackRevisions>
    </reviewItem>
    <reviewItem>
      <errorID>1fde1d71-0ded-4945-b342-4177262fe698</errorID>
      <errorWord>3.3.3</errorWord>
      <group>L1_Format</group>
      <groupName>格式问题</groupName>
      <ability>L2_Ordinal</ability>
      <abilityName>序号格式</abilityName>
      <candidateList>
        <item>3.3.1</item>
      </candidateList>
      <explain>标题顺序错误，请检查标题顺序是否合理。</explain>
      <paraID>3B83AA86</paraID>
      <start>0</start>
      <end>5</end>
      <status>ignored</status>
      <modifiedWord/>
      <trackRevisions>false</trackRevisions>
    </reviewItem>
    <reviewItem>
      <errorID>cf412e6f-f132-4f04-95af-0cc4d41429ed</errorID>
      <errorWord>计算</errorWord>
      <group>L1_Grammar</group>
      <groupName>语法问题</groupName>
      <ability>L2_Grammar</ability>
      <abilityName>语法错误</abilityName>
      <candidateList>
        <item>进行计算</item>
      </candidateList>
      <explain/>
      <paraID>3B83AA86</paraID>
      <start>60</start>
      <end>64</end>
      <status>modified</status>
      <modifiedWord>进行计算</modifiedWord>
      <trackRevisions>false</trackRevisions>
    </reviewItem>
    <reviewItem>
      <errorID>c1d49f57-341c-43cd-bdec-03d4029ab1e1</errorID>
      <errorWord>，</errorWord>
      <group>L1_Grammar</group>
      <groupName>语法问题</groupName>
      <ability>L2_Grammar</ability>
      <abilityName>语法错误</abilityName>
      <candidateList>
        <item>，便于多样化设计。</item>
      </candidateList>
      <explain/>
      <paraID>15759716</paraID>
      <start>97</start>
      <end>106</end>
      <status>modified</status>
      <modifiedWord>，便于多样化设计。</modifiedWord>
      <trackRevisions>false</trackRevisions>
    </reviewItem>
    <reviewItem>
      <errorID>09fb9fa5-44fe-4abf-a5e5-6915f027e272</errorID>
      <errorWord>5.2.2、5.2.3</errorWord>
      <group>L1_Format</group>
      <groupName>格式问题</groupName>
      <ability>L2_Ordinal</ability>
      <abilityName>序号格式</abilityName>
      <candidateList>
        <item>5.2.2.3</item>
      </candidateList>
      <explain>标题顺序错误，请检查标题顺序是否合理。</explain>
      <paraID>28DA9E99</paraID>
      <start>0</start>
      <end>11</end>
      <status>ignored</status>
      <modifiedWord/>
      <trackRevisions>false</trackRevisions>
    </reviewItem>
    <reviewItem>
      <errorID>5079830d-9c0c-448f-9cb7-31a5da1315a1</errorID>
      <errorWord>《建筑抗震设计规范》GB 50011</errorWord>
      <group>L1_Other</group>
      <groupName>其他问题</groupName>
      <ability>L2_Consistency</ability>
      <abilityName>一致性检查</abilityName>
      <candidateList>
        <item>《建筑抗震设计标准》GB/T 50011</item>
      </candidateList>
      <explain>实体一致性错误，全文统一将该标准表述为《建筑抗震设计标准》GB/T 50011，此处表述不一致，需统一</explain>
      <paraID>28DA9E99</paraID>
      <start>96</start>
      <end>116</end>
      <status>modified</status>
      <modifiedWord>《建筑抗震设计标准》GB/T 50011</modifiedWord>
      <trackRevisions>false</trackRevisions>
    </reviewItem>
    <reviewItem>
      <errorID>23cbf71e-d555-4ce7-b677-ca000fb8be89</errorID>
      <errorWord>建筑</errorWord>
      <group>L1_Word</group>
      <groupName>字词问题</groupName>
      <ability>L2_Typo</ability>
      <abilityName>字词错误</abilityName>
      <candidateList>
        <item>的建筑</item>
      </candidateList>
      <explain/>
      <paraID>2741646E</paraID>
      <start>79</start>
      <end>82</end>
      <status>modified</status>
      <modifiedWord>的建筑</modifiedWord>
      <trackRevisions>false</trackRevisions>
    </reviewItem>
    <reviewItem>
      <errorID>cab38495-ffd2-417e-ac91-16f0e946f1a6</errorID>
      <errorWord>盲目</errorWord>
      <group>L1_Word</group>
      <groupName>字词问题</groupName>
      <ability>L2_Typo</ability>
      <abilityName>字词错误</abilityName>
      <candidateList>
        <item>应盲目</item>
      </candidateList>
      <explain/>
      <paraID>2741646E</paraID>
      <start>136</start>
      <end>139</end>
      <status>modified</status>
      <modifiedWord>应盲目</modifiedWord>
      <trackRevisions>false</trackRevisions>
    </reviewItem>
    <reviewItem>
      <errorID>01718f2b-fb5b-4709-a681-15bea45fe30a</errorID>
      <errorWord>差异</errorWord>
      <group>L1_Word</group>
      <groupName>字词问题</groupName>
      <ability>L2_Typo</ability>
      <abilityName>字词错误</abilityName>
      <candidateList>
        <item>的差异</item>
      </candidateList>
      <explain/>
      <paraID>3E755E49</paraID>
      <start>36</start>
      <end>39</end>
      <status>modified</status>
      <modifiedWord>的差异</modifiedWord>
      <trackRevisions>false</trackRevisions>
    </reviewItem>
    <reviewItem>
      <errorID>730de7ce-d7ee-48d7-bfae-509a73a4d1a5</errorID>
      <errorWord>选用</errorWord>
      <group>L1_Punc</group>
      <groupName>标点问题</groupName>
      <ability>L2_Punc_CN</ability>
      <abilityName>标点符号问题</abilityName>
      <candidateList>
        <item>，选用</item>
      </candidateList>
      <explain/>
      <paraID>26967AC7</paraID>
      <start>54</start>
      <end>57</end>
      <status>modified</status>
      <modifiedWord>，选用</modifiedWord>
      <trackRevisions>false</trackRevisions>
    </reviewItem>
    <reviewItem>
      <errorID>8552c760-ba0e-4b9f-8d8f-c54717de421e</errorID>
      <errorWord>采用</errorWord>
      <group>L1_Punc</group>
      <groupName>标点问题</groupName>
      <ability>L2_Punc_CN</ability>
      <abilityName>标点符号问题</abilityName>
      <candidateList>
        <item>，采用</item>
      </candidateList>
      <explain/>
      <paraID>26967AC7</paraID>
      <start>79</start>
      <end>82</end>
      <status>modified</status>
      <modifiedWord>，采用</modifiedWord>
      <trackRevisions>false</trackRevisions>
    </reviewItem>
    <reviewItem>
      <errorID>50e1166e-1f91-4e7d-a2e4-6bc041ac51d8</errorID>
      <errorWord>。</errorWord>
      <group>L1_Grammar</group>
      <groupName>语法问题</groupName>
      <ability>L2_Grammar</ability>
      <abilityName>语法错误</abilityName>
      <candidateList>
        <item>的情况。</item>
      </candidateList>
      <explain/>
      <paraID>26967AC7</paraID>
      <start>151</start>
      <end>155</end>
      <status>modified</status>
      <modifiedWord>的情况。</modifiedWord>
      <trackRevisions>false</trackRevisions>
    </reviewItem>
    <reviewItem>
      <errorID>40a6be45-622e-495e-955a-abb6ac4ae151</errorID>
      <errorWord>或</errorWord>
      <group>L1_Word</group>
      <groupName>字词问题</groupName>
      <ability>L2_Typo</ability>
      <abilityName>字词错误</abilityName>
      <candidateList>
        <item>、</item>
      </candidateList>
      <explain/>
      <paraID>7094C155</paraID>
      <start>41</start>
      <end>42</end>
      <status>modified</status>
      <modifiedWord>、</modifiedWord>
      <trackRevisions>false</trackRevisions>
    </reviewItem>
    <reviewItem>
      <errorID>968fffd3-112d-4e7d-9afb-f6f277e47b8b</errorID>
      <errorWord>保温</errorWord>
      <group>L1_Word</group>
      <groupName>字词问题</groupName>
      <ability>L2_Typo</ability>
      <abilityName>字词错误</abilityName>
      <candidateList>
        <item>的保温</item>
      </candidateList>
      <explain/>
      <paraID> 87119A5</paraID>
      <start>44</start>
      <end>47</end>
      <status>modified</status>
      <modifiedWord>的保温</modifiedWord>
      <trackRevisions>false</trackRevisions>
    </reviewItem>
    <reviewItem>
      <errorID>a39e1e3c-0e66-4704-a9d4-67e355cc299f</errorID>
      <errorWord>、</errorWord>
      <group>L1_Punc</group>
      <groupName>标点问题</groupName>
      <ability>L2_Punc_CN</ability>
      <abilityName>标点符号问题</abilityName>
      <candidateList>
        <item>，</item>
      </candidateList>
      <explain/>
      <paraID>14B7D8E9</paraID>
      <start>78</start>
      <end>79</end>
      <status>modified</status>
      <modifiedWord>，</modifiedWord>
      <trackRevisions>false</trackRevisions>
    </reviewItem>
    <reviewItem>
      <errorID>b74536b9-f4f9-408f-9334-a8932eab2bf1</errorID>
      <errorWord>。</errorWord>
      <group>L1_Punc</group>
      <groupName>标点问题</groupName>
      <ability>L2_Punc_CN</ability>
      <abilityName>标点符号问题</abilityName>
      <candidateList>
        <item>，</item>
      </candidateList>
      <explain/>
      <paraID>619F8546</paraID>
      <start>66</start>
      <end>67</end>
      <status>modified</status>
      <modifiedWord>，</modifiedWord>
      <trackRevisions>false</trackRevisions>
    </reviewItem>
    <reviewItem>
      <errorID>cf593e6a-86d1-4ee5-b152-120f62f9513c</errorID>
      <errorWord>168</errorWord>
      <group>L1_Grammar</group>
      <groupName>语法问题</groupName>
      <ability>L2_Grammar</ability>
      <abilityName>语法错误</abilityName>
      <candidateList>
        <item>T 168</item>
      </candidateList>
      <explain/>
      <paraID>5C7E22C1</paraID>
      <start>113</start>
      <end>118</end>
      <status>modified</status>
      <modifiedWord>T 168</modifiedWord>
      <trackRevisions>false</trackRevisions>
    </reviewItem>
    <reviewItem>
      <errorID>0f24f467-c368-4439-811e-11eb74df3bc6</errorID>
      <errorWord>设置</errorWord>
      <group>L1_Word</group>
      <groupName>字词问题</groupName>
      <ability>L2_Typo</ability>
      <abilityName>字词错误</abilityName>
      <candidateList>
        <item>采取</item>
      </candidateList>
      <explain/>
      <paraID>6D9112EB</paraID>
      <start>109</start>
      <end>111</end>
      <status>modified</status>
      <modifiedWord>采取</modifiedWord>
      <trackRevisions>false</trackRevisions>
    </reviewItem>
    <reviewItem>
      <errorID>604fc3f4-a80e-481f-bc45-d2455774a1c6</errorID>
      <errorWord>，</errorWord>
      <group>L1_Grammar</group>
      <groupName>语法问题</groupName>
      <ability>L2_Grammar</ability>
      <abilityName>语法错误</abilityName>
      <candidateList>
        <item>，以规范市场准入制度。</item>
      </candidateList>
      <explain/>
      <paraID>54F89A5B</paraID>
      <start>43</start>
      <end>54</end>
      <status>modified</status>
      <modifiedWord>，以规范市场准入制度。</modifiedWord>
      <trackRevisions>false</trackRevisions>
    </reviewItem>
    <reviewItem>
      <errorID>03a3e23f-cdf4-4cbe-9dcf-f742967c2336</errorID>
      <errorWord>的行业现行标准</errorWord>
      <group>L1_Word</group>
      <groupName>字词问题</groupName>
      <ability>L2_Typo</ability>
      <abilityName>字词错误</abilityName>
      <candidateList>
        <item>现行行业标准</item>
      </candidateList>
      <explain/>
      <paraID>45E77FB3</paraID>
      <start>34</start>
      <end>40</end>
      <status>modified</status>
      <modifiedWord>现行行业标准</modifiedWord>
      <trackRevisions>false</trackRevisions>
    </reviewItem>
    <reviewItem>
      <errorID>f1620535-3c5c-4f75-b540-4829c6a05c9c</errorID>
      <errorWord>提高</errorWord>
      <group>L1_Punc</group>
      <groupName>标点问题</groupName>
      <ability>L2_Punc_CN</ability>
      <abilityName>标点符号问题</abilityName>
      <candidateList>
        <item>，提高</item>
      </candidateList>
      <explain/>
      <paraID> 9B01FBD</paraID>
      <start>77</start>
      <end>80</end>
      <status>modified</status>
      <modifiedWord>，提高</modifiedWord>
      <trackRevisions>false</trackRevisions>
    </reviewItem>
    <reviewItem>
      <errorID>5e697873-a43e-4c2f-a0bd-7c7741d96e39</errorID>
      <errorWord>保证</errorWord>
      <group>L1_Punc</group>
      <groupName>标点问题</groupName>
      <ability>L2_Punc_CN</ability>
      <abilityName>标点符号问题</abilityName>
      <candidateList>
        <item>，保证</item>
      </candidateList>
      <explain/>
      <paraID>17D2648F</paraID>
      <start>39</start>
      <end>42</end>
      <status>modified</status>
      <modifiedWord>，保证</modifiedWord>
      <trackRevisions>false</trackRevisions>
    </reviewItem>
    <reviewItem>
      <errorID>3a974491-2688-4a5f-af02-229036e5f338</errorID>
      <errorWord>总</errorWord>
      <group>L1_Word</group>
      <groupName>字词问题</groupName>
      <ability>L2_Typo</ability>
      <abilityName>字词错误</abilityName>
      <candidateList>
        <item>中</item>
      </candidateList>
      <explain/>
      <paraID>17799AEB</paraID>
      <start>58</start>
      <end>59</end>
      <status>ignored</status>
      <modifiedWord/>
      <trackRevisions>false</trackRevisions>
    </reviewItem>
    <reviewItem>
      <errorID>9c0e624c-61cc-4c5b-8b63-997ae1a3a1bf</errorID>
      <errorWord>，</errorWord>
      <group>L1_Punc</group>
      <groupName>标点问题</groupName>
      <ability>L2_Punc_CN</ability>
      <abilityName>标点符号问题</abilityName>
      <candidateList>
        <item>。</item>
      </candidateList>
      <explain/>
      <paraID>366C1258</paraID>
      <start>111</start>
      <end>112</end>
      <status>modified</status>
      <modifiedWord>。</modifiedWord>
      <trackRevisions>false</trackRevisions>
    </reviewItem>
    <reviewItem>
      <errorID>17063a58-2b8b-45c2-bdb4-dde852329152</errorID>
      <errorWord>，</errorWord>
      <group>L1_Word</group>
      <groupName>字词问题</groupName>
      <ability>L2_Typo</ability>
      <abilityName>字词错误</abilityName>
      <candidateList>
        <item>，如</item>
      </candidateList>
      <explain/>
      <paraID>366C1258</paraID>
      <start>214</start>
      <end>216</end>
      <status>modified</status>
      <modifiedWord>，如</modifiedWord>
      <trackRevisions>false</trackRevisions>
    </reviewItem>
    <reviewItem>
      <errorID>a76feccc-a481-42da-846f-8fd91f95ffeb</errorID>
      <errorWord>造成</errorWord>
      <group>L1_Punc</group>
      <groupName>标点问题</groupName>
      <ability>L2_Punc_CN</ability>
      <abilityName>标点符号问题</abilityName>
      <candidateList>
        <item>，造成</item>
      </candidateList>
      <explain/>
      <paraID>797D397B</paraID>
      <start>30</start>
      <end>33</end>
      <status>modified</status>
      <modifiedWord>，造成</modifiedWord>
      <trackRevisions>false</trackRevisions>
    </reviewItem>
    <reviewItem>
      <errorID>e9477724-9255-4a2f-98f9-807f663634cd</errorID>
      <errorWord>面板</errorWord>
      <group>L1_Punc</group>
      <groupName>标点问题</groupName>
      <ability>L2_Punc_CN</ability>
      <abilityName>标点符号问题</abilityName>
      <candidateList>
        <item>，面板</item>
      </candidateList>
      <explain/>
      <paraID>15ECC366</paraID>
      <start>94</start>
      <end>97</end>
      <status>modified</status>
      <modifiedWord>，面板</modifiedWord>
      <trackRevisions>false</trackRevisions>
    </reviewItem>
    <reviewItem>
      <errorID>766dcf72-c84f-4702-bfa6-57b87ca43f20</errorID>
      <errorWord>：</errorWord>
      <group>L1_Punc</group>
      <groupName>标点问题</groupName>
      <ability>L2_Punc_CN</ability>
      <abilityName>标点符号问题</abilityName>
      <candidateList>
        <item>。</item>
      </candidateList>
      <explain/>
      <paraID>4CCDE545</paraID>
      <start>89</start>
      <end>90</end>
      <status>ignored</status>
      <modifiedWord/>
      <trackRevisions>false</trackRevisions>
    </reviewItem>
    <reviewItem>
      <errorID>0b5cac7f-17c3-4d1c-9367-bc45eeb76611</errorID>
      <errorWord> </errorWord>
      <group>L1_Punc</group>
      <groupName>标点问题</groupName>
      <ability>L2_Punc_CN</ability>
      <abilityName>标点符号问题</abilityName>
      <candidateList>
        <item>.</item>
      </candidateList>
      <explain/>
      <paraID>26FC7ACD</paraID>
      <start>1</start>
      <end>2</end>
      <status>ignored</status>
      <modifiedWord/>
      <trackRevisions>false</trackRevisions>
    </reviewItem>
    <reviewItem>
      <errorID>af6f1fc0-7b24-4df4-a28b-6b222f9d8a73</errorID>
      <errorWord> </errorWord>
      <group>L1_Punc</group>
      <groupName>标点问题</groupName>
      <ability>L2_Punc_CN</ability>
      <abilityName>标点符号问题</abilityName>
      <candidateList>
        <item>.</item>
      </candidateList>
      <explain/>
      <paraID>1D86F4C3</paraID>
      <start>1</start>
      <end>2</end>
      <status>ignored</status>
      <modifiedWord/>
      <trackRevisions>false</trackRevisions>
    </reviewItem>
    <reviewItem>
      <errorID>1bf31f34-b2d8-4909-bafc-34d96fe36f80</errorID>
      <errorWord> </errorWord>
      <group>L1_Punc</group>
      <groupName>标点问题</groupName>
      <ability>L2_Punc_CN</ability>
      <abilityName>标点符号问题</abilityName>
      <candidateList>
        <item>.</item>
      </candidateList>
      <explain/>
      <paraID>71FBCDB0</paraID>
      <start>1</start>
      <end>2</end>
      <status>ignored</status>
      <modifiedWord/>
      <trackRevisions>false</trackRevisions>
    </reviewItem>
    <reviewItem>
      <errorID>e1eaf3f7-f9f8-4814-a40a-1350efef0111</errorID>
      <errorWord> </errorWord>
      <group>L1_Punc</group>
      <groupName>标点问题</groupName>
      <ability>L2_Punc_CN</ability>
      <abilityName>标点符号问题</abilityName>
      <candidateList>
        <item>.</item>
      </candidateList>
      <explain/>
      <paraID>10BB7C3A</paraID>
      <start>1</start>
      <end>2</end>
      <status>ignored</status>
      <modifiedWord/>
      <trackRevisions>false</trackRevisions>
    </reviewItem>
    <reviewItem>
      <errorID>b4e995a3-5302-4ee9-8ce8-bfdb2efe8ac5</errorID>
      <errorWord> </errorWord>
      <group>L1_Punc</group>
      <groupName>标点问题</groupName>
      <ability>L2_Punc_CN</ability>
      <abilityName>标点符号问题</abilityName>
      <candidateList>
        <item>.</item>
      </candidateList>
      <explain/>
      <paraID>6FF57CC3</paraID>
      <start>1</start>
      <end>2</end>
      <status>ignored</status>
      <modifiedWord/>
      <trackRevisions>false</trackRevisions>
    </reviewItem>
    <reviewItem>
      <errorID>492aa53a-3403-4c27-a967-3bb56382318a</errorID>
      <errorWord>。</errorWord>
      <group>L1_Grammar</group>
      <groupName>语法问题</groupName>
      <ability>L2_Grammar</ability>
      <abilityName>语法错误</abilityName>
      <candidateList>
        <item>进行检验。</item>
      </candidateList>
      <explain/>
      <paraID>46AFAF36</paraID>
      <start>53</start>
      <end>54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7aca63-dc45-4a48-b7d8-65e932859db0}">
  <ds:schemaRefs/>
</ds:datastoreItem>
</file>

<file path=docProps/app.xml><?xml version="1.0" encoding="utf-8"?>
<Properties xmlns="http://schemas.openxmlformats.org/officeDocument/2006/extended-properties" xmlns:vt="http://schemas.openxmlformats.org/officeDocument/2006/docPropsVTypes">
  <Template>Normal.dotm</Template>
  <Company>CSWADI</Company>
  <Pages>36</Pages>
  <Words>109</Words>
  <Characters>239</Characters>
  <Lines>461</Lines>
  <Paragraphs>441</Paragraphs>
  <TotalTime>20</TotalTime>
  <ScaleCrop>false</ScaleCrop>
  <LinksUpToDate>false</LinksUpToDate>
  <CharactersWithSpaces>331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2026-06-23T03:09:00Z</dcterms:created>
  <dc:creator>admin</dc:creator>
  <cp:lastModifiedBy>Promise</cp:lastModifiedBy>
  <cp:lastPrinted>2026-08-11T03:07:39Z</cp:lastPrinted>
  <dcterms:modified xsi:type="dcterms:W3CDTF">2026-08-11T07:35:33Z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E0496BCA30A5490194AC9541C2813B33_13</vt:lpwstr>
  </property>
  <property fmtid="{D5CDD505-2E9C-101B-9397-08002B2CF9AE}" pid="4" name="KSOTemplateDocerSaveRecord">
    <vt:lpwstr>eyJoZGlkIjoiNzEwNmRmNGI2MWEwOGRlMTc4YTVhOWJlZjA3YWI2YjkiLCJ1c2VySWQiOiIzMzA1MDk4NDYifQ==</vt:lpwstr>
  </property>
</Properties>
</file>